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12,937,855.00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12,937,855.00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12,937,855.00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12,937,855.00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12,937,855.00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12,937,855.00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12,937,855.00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12,937,855.00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12,937,855.00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12,931,166.00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12,931,166.00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12,931,166.00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MASSACHUSETTS , 02116.</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18 (this "Amendment No. 18" or this "Schedule 13D/A") amends and supplements the statement on Schedule 13D originally filed with the Securities and Exchange Commission (the "SEC") on February 19, 2021, and amended on November 14, 2022, December 9, 2022, August 11, 2023, December 30, 2024, June 27, 2025, September 19, 2025, October 20, 2025, October 27, 2025, October 30, 2025, November 14, 2025, December 18, 2025, March 16, 2026, April 1, 2026, April 8, 2026, April 10, 2026, April 15, 2026 and April 21, 2026 (as amended, the "Statement") by the Reporting Persons. Unless otherwise defined herein, capitalized terms used in this Amendment No. 18 shall have the meanings ascribed to them in the Statement. Unless amended or supplemented below, the information in the Statement remains unchanged.</w:t>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 xml:space="preserve">This Schedule 13D/A is being filed on behalf of RA Capital Management, L.P. ("RA Capital"), Peter Kolchinsky, Rajeev Shah, and RA Capital Healthcare Fund, L.P. (the "Fund"). RA Capital, Dr. Kolchinsky, Mr. Shah and the Fund are collectively referred to herein as the "Reporting Persons." The agreement among the Reporting Persons to file this Schedule 13D/A jointly in accordance with Rule 13d-1(k) of the Act is attached hereto as Exhibit 99.1. The Reporting Persons' beneficial ownership of the Issuer's common stock consists of (i) 4,501,882 shares of common stock directly held by the Fund; (ii) Common Stock Warrants exercisable for up to 1,056,072 shares of common stock held directly by the Fund; (iii) pre-funded warrants (the "Pre-Funded Warrants" and, together with the Common Stock Warrants, the "Warrants") exercisable for up to 7,900,000 shares of common stock directly held by the Fund; (iv) a total of 6,190 shares of common stock underlying vested stock options (right to buy) held by Joshua Resnick for the benefit of RA Capital; and (v) a total of 499 shares of common stock underlying vested stock options (right to buy) held by Andrew Levin for the benefit of RA Capital. The Pre-Funded Warrants contain a provision (the "Pre-Funded Warrant Beneficial Ownership Blocker") which precludes exercise of the Pre-Funded Warrants to the extent that, following exercise, the Fund, together with its affiliates and other attribution parties, would own more than 19.99% of the common stock outstanding. The Fund is currently prohibited from exercising the Pre-Funded Warrants to the extent that such exercise would result in beneficial ownership of more than 12,937,855 shares of common stock by virtue of the Pre-Funded Warrant Beneficial Ownership Blocker.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its portfolio, including the shares of the Issuer's common stock reported herein. Because each of the Fund has divested itself of voting and investment power over the reported securities it holds and may not revoke that delegation on less than 61 days' notice, the Fund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The Fund is a private investment vehicle. RA Capital provides investment management services to the Fund. The principal occupation of each of Dr. Kolchinsky and Mr. Shah is investment management.</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3 of the Statement is hereby amended and supplemented as follows: On July 16, 2026, the Fund exercised Pre-Funded Warrants to purchase an aggregate of 2,100,000 shares of the Issuer's common stock for $0.002 a share. The Fund exercised the Pre-Funded Warrants on a cashless basis, resulting in the Issuer's withholding of 213 of such shares to satisfy the exercise price of the Pre-Funded Warrants, and the issuance to the Fund of an aggregate of 2,099,787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Item 4 of the Statement is hereby amended and supplemented as follows: Effective July 6, 2026, Andrew Levin resigned from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the sum of (i) 54,185,582 shares of common stock outstanding as of May 5, 2026, as reported in the Issuer's Quarterly Report on Form 10-Q filed with the SEC on May 13, 2026 and (ii) 2,099,787 shares of common stock issued subsequent to May 7, 2026 upon the exercise of Pre-Funded Warrants by the Fund, and giving effect to Warrants and stock options, to the extent exercisable within 60 days hereof, as referenced herein. Due to field limitations of the EDGAR filing system, the percentage listed in Row 13 of each of the cover pages has been rounded down to 19.9%.</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0"/>
              <w:jc w:val="left"/>
              <w:rPr/>
            </w:pPr>
            <w:r>
              <w:rPr/>
              <w:t xml:space="preserve">Except as set forth herein, none of the Reporting Persons has effected any transactions with respect to the securities of the Issuer during the past sixty days.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0"/>
              <w:jc w:val="left"/>
              <w:rPr/>
            </w:pPr>
            <w:r>
              <w:rPr/>
              <w:t xml:space="preserve">No person (other than the Reporting Persons) is known to have the right to receive or the power to direct the receipt of dividends from, or the proceeds from the sale of, the securities subject to this Schedule 13D/A.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Exhibit 99.1 Joint Filing Agreement (incorporated by reference to Exhibit 99.1 to the Reporting Persons' Schedule 13D/A filed with the SEC on June 27,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1"/>
        <w:gridCol w:w="4254"/>
      </w:tblGrid>
      <w:tr>
        <w:trPr/>
        <w:tc>
          <w:tcPr>
            <w:tcW w:w="59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Peter Kolchinsky</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By Peter Kolchinsky, Manager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254"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2145</Words>
  <Characters>10932</Characters>
  <CharactersWithSpaces>12955</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