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62026_100848.xml.htm"/>
      <w:bookmarkStart w:id="1" w:name="ksform408262026_1008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Vor Biopharma Inc.</w:t>
              </w:r>
            </w:hyperlink>
            <w:r>
              <w:rPr/>
              <w:t xml:space="preserve"> [ </w:t>
            </w:r>
            <w:r>
              <w:rPr>
                <w:rFonts w:ascii="Times;serif" w:hAnsi="Times;serif"/>
                <w:color w:val="0000FF"/>
                <w:sz w:val="24"/>
                <w:shd w:fill="FFFFFF" w:val="clear"/>
              </w:rPr>
              <w:t>VOR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867"/>
        <w:gridCol w:w="435"/>
        <w:gridCol w:w="789"/>
        <w:gridCol w:w="1254"/>
        <w:gridCol w:w="97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3.736</w:t>
            </w:r>
            <w:r>
              <w:rPr>
                <w:rFonts w:ascii="Times;serif" w:hAnsi="Times;serif"/>
                <w:color w:val="008000"/>
                <w:position w:val="7"/>
                <w:sz w:val="16"/>
                <w:sz w:val="20"/>
                <w:shd w:fill="FFFFFF" w:val="clear"/>
              </w:rPr>
              <w:t>(1)</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4,501,882</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w:t>
            </w:r>
          </w:p>
        </w:tc>
      </w:tr>
    </w:tbl>
    <w:tbl>
      <w:tblPr>
        <w:tblW w:w="121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66"/>
        <w:gridCol w:w="906"/>
        <w:gridCol w:w="801"/>
        <w:gridCol w:w="891"/>
        <w:gridCol w:w="741"/>
        <w:gridCol w:w="801"/>
        <w:gridCol w:w="936"/>
        <w:gridCol w:w="831"/>
        <w:gridCol w:w="102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3.736</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1,500</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18, 2025, the Issuer effected a 1-for-20 reverse stock split. The exercise price and number of shares underlying the stock option give effect to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to Joshua Resnick pursuant to the Issuer's non-employee director compensation policy. Under Mr. Resnick's arrangement with the Adviser, Mr. Resnick held the option for the benefit of the Fund. Mr. Resnick is obligated to turn over to the Adviser any stock received upon exercise of the option, which will offset advisory fees owed by the Fund to the Adviser. The Reporting Persons therefore disclaim beneficial ownership of the option and underlying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Immediately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817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46824" TargetMode="External"/><Relationship Id="rId9" Type="http://schemas.openxmlformats.org/officeDocument/2006/relationships/hyperlink" Target="http://www.sec.gov/cgi-bin/browse-edgar?action=getcompany&amp;CIK=0001315082" TargetMode="External"/><Relationship Id="rId10" Type="http://schemas.openxmlformats.org/officeDocument/2006/relationships/hyperlink" Target="http://www.sec.gov/cgi-bin/browse-edgar?action=getcompany&amp;CIK=0001384859" TargetMode="External"/><Relationship Id="rId11" Type="http://schemas.openxmlformats.org/officeDocument/2006/relationships/hyperlink" Target="http://www.sec.gov/cgi-bin/browse-edgar?action=getcompany&amp;CIK=000161984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936</Words>
  <Characters>5088</Characters>
  <CharactersWithSpaces>5876</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