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VOR BIOPHARMA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FMR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4,931,820.00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4,932,149.00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4,932,149.00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9.1 %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Abigail P. Johnson</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4,932,149.00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4,932,149.00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9.1 %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119"/>
        <w:gridCol w:w="8931"/>
        <w:gridCol w:w="155"/>
      </w:tblGrid>
      <w:tr>
        <w:trPr/>
        <w:tc>
          <w:tcPr>
            <w:tcW w:w="1119" w:type="dxa"/>
            <w:tcBorders/>
            <w:vAlign w:val="center"/>
          </w:tcPr>
          <w:p>
            <w:pPr>
              <w:pStyle w:val="TableContents"/>
              <w:bidi w:val="0"/>
              <w:spacing w:before="0" w:after="283"/>
              <w:jc w:val="left"/>
              <w:rPr/>
            </w:pPr>
            <w:r>
              <w:rPr/>
              <w:t>Item 1.</w:t>
            </w:r>
          </w:p>
        </w:tc>
        <w:tc>
          <w:tcPr>
            <w:tcW w:w="893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(a)</w:t>
            </w:r>
          </w:p>
        </w:tc>
        <w:tc>
          <w:tcPr>
            <w:tcW w:w="8931" w:type="dxa"/>
            <w:tcBorders/>
            <w:vAlign w:val="center"/>
          </w:tcPr>
          <w:p>
            <w:pPr>
              <w:pStyle w:val="TableContents"/>
              <w:bidi w:val="0"/>
              <w:jc w:val="left"/>
              <w:rPr/>
            </w:pPr>
            <w:r>
              <w:rPr/>
              <w:t xml:space="preserve">Name of issuer: </w:t>
            </w:r>
          </w:p>
          <w:p>
            <w:pPr>
              <w:pStyle w:val="TableContents"/>
              <w:bidi w:val="0"/>
              <w:spacing w:before="0" w:after="0"/>
              <w:jc w:val="left"/>
              <w:rPr/>
            </w:pPr>
            <w:r>
              <w:rPr/>
              <w:t>VOR BIOPHARMA INC</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(b)</w:t>
            </w:r>
          </w:p>
        </w:tc>
        <w:tc>
          <w:tcPr>
            <w:tcW w:w="893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500 BOYLSTON STREET,SUITE 1350,BOSTON,MA,USA,02116</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Item 2.</w:t>
            </w:r>
          </w:p>
        </w:tc>
        <w:tc>
          <w:tcPr>
            <w:tcW w:w="893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(a)</w:t>
            </w:r>
          </w:p>
        </w:tc>
        <w:tc>
          <w:tcPr>
            <w:tcW w:w="8931" w:type="dxa"/>
            <w:tcBorders/>
            <w:vAlign w:val="center"/>
          </w:tcPr>
          <w:p>
            <w:pPr>
              <w:pStyle w:val="TableContents"/>
              <w:bidi w:val="0"/>
              <w:jc w:val="left"/>
              <w:rPr/>
            </w:pPr>
            <w:r>
              <w:rPr/>
              <w:t xml:space="preserve">Name of person filing: </w:t>
            </w:r>
          </w:p>
          <w:p>
            <w:pPr>
              <w:pStyle w:val="TableContents"/>
              <w:bidi w:val="0"/>
              <w:spacing w:before="0" w:after="0"/>
              <w:jc w:val="left"/>
              <w:rPr/>
            </w:pPr>
            <w:r>
              <w:rPr/>
              <w:t>FMR LLC</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(b)</w:t>
            </w:r>
          </w:p>
        </w:tc>
        <w:tc>
          <w:tcPr>
            <w:tcW w:w="8931"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245 Summer Street, Boston, Massachusetts 02210</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(c)</w:t>
            </w:r>
          </w:p>
        </w:tc>
        <w:tc>
          <w:tcPr>
            <w:tcW w:w="8931" w:type="dxa"/>
            <w:tcBorders/>
            <w:vAlign w:val="center"/>
          </w:tcPr>
          <w:p>
            <w:pPr>
              <w:pStyle w:val="TableContents"/>
              <w:bidi w:val="0"/>
              <w:jc w:val="left"/>
              <w:rPr/>
            </w:pPr>
            <w:r>
              <w:rPr/>
              <w:t xml:space="preserve">Citizenship: </w:t>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(d)</w:t>
            </w:r>
          </w:p>
        </w:tc>
        <w:tc>
          <w:tcPr>
            <w:tcW w:w="893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(e)</w:t>
            </w:r>
          </w:p>
        </w:tc>
        <w:tc>
          <w:tcPr>
            <w:tcW w:w="8931"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Item 3.</w:t>
            </w:r>
          </w:p>
        </w:tc>
        <w:tc>
          <w:tcPr>
            <w:tcW w:w="8931"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(a)</w:t>
            </w:r>
          </w:p>
        </w:tc>
        <w:tc>
          <w:tcPr>
            <w:tcW w:w="8931"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(b)</w:t>
            </w:r>
          </w:p>
        </w:tc>
        <w:tc>
          <w:tcPr>
            <w:tcW w:w="8931"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(c)</w:t>
            </w:r>
          </w:p>
        </w:tc>
        <w:tc>
          <w:tcPr>
            <w:tcW w:w="8931"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(d)</w:t>
            </w:r>
          </w:p>
        </w:tc>
        <w:tc>
          <w:tcPr>
            <w:tcW w:w="8931"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(e)</w:t>
            </w:r>
          </w:p>
        </w:tc>
        <w:tc>
          <w:tcPr>
            <w:tcW w:w="8931"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(f)</w:t>
            </w:r>
          </w:p>
        </w:tc>
        <w:tc>
          <w:tcPr>
            <w:tcW w:w="8931"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(g)</w:t>
            </w:r>
          </w:p>
        </w:tc>
        <w:tc>
          <w:tcPr>
            <w:tcW w:w="8931"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(h)</w:t>
            </w:r>
          </w:p>
        </w:tc>
        <w:tc>
          <w:tcPr>
            <w:tcW w:w="8931"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(i)</w:t>
            </w:r>
          </w:p>
        </w:tc>
        <w:tc>
          <w:tcPr>
            <w:tcW w:w="8931"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(j)</w:t>
            </w:r>
          </w:p>
        </w:tc>
        <w:tc>
          <w:tcPr>
            <w:tcW w:w="8931"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(k)</w:t>
            </w:r>
          </w:p>
        </w:tc>
        <w:tc>
          <w:tcPr>
            <w:tcW w:w="8931"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 </w:t>
            </w:r>
          </w:p>
        </w:tc>
        <w:tc>
          <w:tcPr>
            <w:tcW w:w="9086" w:type="dxa"/>
            <w:gridSpan w:val="2"/>
            <w:tcBorders/>
            <w:vAlign w:val="center"/>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Item 4.</w:t>
            </w:r>
          </w:p>
        </w:tc>
        <w:tc>
          <w:tcPr>
            <w:tcW w:w="8931"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(a)</w:t>
            </w:r>
          </w:p>
        </w:tc>
        <w:tc>
          <w:tcPr>
            <w:tcW w:w="8931"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4932149.00</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(b)</w:t>
            </w:r>
          </w:p>
        </w:tc>
        <w:tc>
          <w:tcPr>
            <w:tcW w:w="8931"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9.1  % </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(c)</w:t>
            </w:r>
          </w:p>
        </w:tc>
        <w:tc>
          <w:tcPr>
            <w:tcW w:w="8931"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 </w:t>
            </w:r>
          </w:p>
        </w:tc>
        <w:tc>
          <w:tcPr>
            <w:tcW w:w="8931"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Please see the responses to Items 5 and 6 on the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 </w:t>
            </w:r>
          </w:p>
        </w:tc>
        <w:tc>
          <w:tcPr>
            <w:tcW w:w="8931"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 </w:t>
            </w:r>
          </w:p>
        </w:tc>
        <w:tc>
          <w:tcPr>
            <w:tcW w:w="8931"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4932149.00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 </w:t>
            </w:r>
          </w:p>
        </w:tc>
        <w:tc>
          <w:tcPr>
            <w:tcW w:w="8931"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Item 5.</w:t>
            </w:r>
          </w:p>
        </w:tc>
        <w:tc>
          <w:tcPr>
            <w:tcW w:w="8931"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 </w:t>
            </w:r>
          </w:p>
        </w:tc>
        <w:tc>
          <w:tcPr>
            <w:tcW w:w="8931"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Item 6.</w:t>
            </w:r>
          </w:p>
        </w:tc>
        <w:tc>
          <w:tcPr>
            <w:tcW w:w="8931"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 </w:t>
            </w:r>
          </w:p>
        </w:tc>
        <w:tc>
          <w:tcPr>
            <w:tcW w:w="8931"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One or more other persons are known to have the right to receive or the power to direct the receipt of dividends from, or the proceeds from the sale of, the COMMON STOCK of VOR BIOPHARMA INC. No one other person's interest in the COMMON STOCK of VOR BIOPHARMA INC is more than five percent of the total outstanding COMMON STOCK.</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Item 7.</w:t>
            </w:r>
          </w:p>
        </w:tc>
        <w:tc>
          <w:tcPr>
            <w:tcW w:w="8931"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 </w:t>
            </w:r>
          </w:p>
        </w:tc>
        <w:tc>
          <w:tcPr>
            <w:tcW w:w="8931"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attached Exhibit 99.</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Item 8.</w:t>
            </w:r>
          </w:p>
        </w:tc>
        <w:tc>
          <w:tcPr>
            <w:tcW w:w="8931"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 </w:t>
            </w:r>
          </w:p>
        </w:tc>
        <w:tc>
          <w:tcPr>
            <w:tcW w:w="893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Item 9.</w:t>
            </w:r>
          </w:p>
        </w:tc>
        <w:tc>
          <w:tcPr>
            <w:tcW w:w="8931"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 </w:t>
            </w:r>
          </w:p>
        </w:tc>
        <w:tc>
          <w:tcPr>
            <w:tcW w:w="893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2646" w:type="dxa"/>
        <w:jc w:val="left"/>
        <w:tblInd w:w="0" w:type="dxa"/>
        <w:tblLayout w:type="fixed"/>
        <w:tblCellMar>
          <w:top w:w="28" w:type="dxa"/>
          <w:left w:w="28" w:type="dxa"/>
          <w:bottom w:w="28" w:type="dxa"/>
          <w:right w:w="28" w:type="dxa"/>
        </w:tblCellMar>
      </w:tblPr>
      <w:tblGrid>
        <w:gridCol w:w="1323"/>
        <w:gridCol w:w="1323"/>
      </w:tblGrid>
      <w:tr>
        <w:trPr/>
        <w:tc>
          <w:tcPr>
            <w:tcW w:w="1323" w:type="dxa"/>
            <w:tcBorders/>
            <w:vAlign w:val="center"/>
          </w:tcPr>
          <w:p>
            <w:pPr>
              <w:pStyle w:val="TableContents"/>
              <w:bidi w:val="0"/>
              <w:spacing w:before="0" w:after="0"/>
              <w:jc w:val="left"/>
              <w:rPr/>
            </w:pPr>
            <w:r>
              <w:rPr/>
              <w:t> </w:t>
            </w:r>
          </w:p>
          <w:tbl>
            <w:tblPr>
              <w:tblW w:w="1201" w:type="dxa"/>
              <w:jc w:val="left"/>
              <w:tblInd w:w="0" w:type="dxa"/>
              <w:tblLayout w:type="fixed"/>
              <w:tblCellMar>
                <w:top w:w="28" w:type="dxa"/>
                <w:left w:w="28" w:type="dxa"/>
                <w:bottom w:w="28" w:type="dxa"/>
                <w:right w:w="28" w:type="dxa"/>
              </w:tblCellMar>
            </w:tblPr>
            <w:tblGrid>
              <w:gridCol w:w="1201"/>
            </w:tblGrid>
            <w:tr>
              <w:trPr/>
              <w:tc>
                <w:tcPr>
                  <w:tcW w:w="1201" w:type="dxa"/>
                  <w:tcBorders/>
                  <w:vAlign w:val="center"/>
                </w:tcPr>
                <w:p>
                  <w:pPr>
                    <w:pStyle w:val="TableContents"/>
                    <w:bidi w:val="0"/>
                    <w:spacing w:before="0" w:after="0"/>
                    <w:jc w:val="left"/>
                    <w:rPr/>
                  </w:pPr>
                  <w:r>
                    <w:rPr/>
                    <w:t>FMR LLC</w:t>
                  </w:r>
                </w:p>
              </w:tc>
            </w:tr>
          </w:tbl>
          <w:p>
            <w:pPr>
              <w:pStyle w:val="TableContents"/>
              <w:bidi w:val="0"/>
              <w:spacing w:before="0" w:after="283"/>
              <w:jc w:val="left"/>
              <w:rPr/>
            </w:pPr>
            <w:r>
              <w:rPr/>
            </w:r>
          </w:p>
        </w:tc>
        <w:tc>
          <w:tcPr>
            <w:tcW w:w="132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20"/>
        <w:gridCol w:w="4285"/>
      </w:tblGrid>
      <w:tr>
        <w:trPr/>
        <w:tc>
          <w:tcPr>
            <w:tcW w:w="592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Stephanie J. Brown</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Duly authorized under Power of Attorney effective as of January 3, 2023, by and on behalf of FMR LLC and its direct and indirect subsidiaries*</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08/05/2026</w:t>
                  </w:r>
                </w:p>
              </w:tc>
            </w:tr>
          </w:tbl>
          <w:p>
            <w:pPr>
              <w:pStyle w:val="TableContents"/>
              <w:bidi w:val="0"/>
              <w:spacing w:before="0" w:after="283"/>
              <w:jc w:val="left"/>
              <w:rPr/>
            </w:pPr>
            <w:r>
              <w:rPr/>
            </w:r>
          </w:p>
        </w:tc>
        <w:tc>
          <w:tcPr>
            <w:tcW w:w="4285" w:type="dxa"/>
            <w:tcBorders/>
            <w:vAlign w:val="center"/>
          </w:tcPr>
          <w:p>
            <w:pPr>
              <w:pStyle w:val="TableContents"/>
              <w:bidi w:val="0"/>
              <w:spacing w:before="0" w:after="283"/>
              <w:jc w:val="left"/>
              <w:rPr>
                <w:sz w:val="4"/>
                <w:szCs w:val="4"/>
              </w:rPr>
            </w:pPr>
            <w:r>
              <w:rPr>
                <w:sz w:val="4"/>
                <w:szCs w:val="4"/>
              </w:rPr>
            </w:r>
          </w:p>
        </w:tc>
      </w:tr>
    </w:tbl>
    <w:tbl>
      <w:tblPr>
        <w:tblW w:w="4190" w:type="dxa"/>
        <w:jc w:val="left"/>
        <w:tblInd w:w="0" w:type="dxa"/>
        <w:tblLayout w:type="fixed"/>
        <w:tblCellMar>
          <w:top w:w="28" w:type="dxa"/>
          <w:left w:w="28" w:type="dxa"/>
          <w:bottom w:w="28" w:type="dxa"/>
          <w:right w:w="28" w:type="dxa"/>
        </w:tblCellMar>
      </w:tblPr>
      <w:tblGrid>
        <w:gridCol w:w="2095"/>
        <w:gridCol w:w="2095"/>
      </w:tblGrid>
      <w:tr>
        <w:trPr/>
        <w:tc>
          <w:tcPr>
            <w:tcW w:w="2095" w:type="dxa"/>
            <w:tcBorders/>
            <w:vAlign w:val="center"/>
          </w:tcPr>
          <w:p>
            <w:pPr>
              <w:pStyle w:val="TableContents"/>
              <w:bidi w:val="0"/>
              <w:spacing w:before="0" w:after="0"/>
              <w:jc w:val="left"/>
              <w:rPr/>
            </w:pPr>
            <w:r>
              <w:rPr/>
              <w:t> </w:t>
            </w:r>
          </w:p>
          <w:tbl>
            <w:tblPr>
              <w:tblW w:w="1966" w:type="dxa"/>
              <w:jc w:val="left"/>
              <w:tblInd w:w="0" w:type="dxa"/>
              <w:tblLayout w:type="fixed"/>
              <w:tblCellMar>
                <w:top w:w="28" w:type="dxa"/>
                <w:left w:w="28" w:type="dxa"/>
                <w:bottom w:w="28" w:type="dxa"/>
                <w:right w:w="28" w:type="dxa"/>
              </w:tblCellMar>
            </w:tblPr>
            <w:tblGrid>
              <w:gridCol w:w="1966"/>
            </w:tblGrid>
            <w:tr>
              <w:trPr/>
              <w:tc>
                <w:tcPr>
                  <w:tcW w:w="1966" w:type="dxa"/>
                  <w:tcBorders/>
                  <w:vAlign w:val="center"/>
                </w:tcPr>
                <w:p>
                  <w:pPr>
                    <w:pStyle w:val="TableContents"/>
                    <w:bidi w:val="0"/>
                    <w:spacing w:before="0" w:after="0"/>
                    <w:jc w:val="left"/>
                    <w:rPr/>
                  </w:pPr>
                  <w:r>
                    <w:rPr/>
                    <w:t>Abigail P. Johnson</w:t>
                  </w:r>
                </w:p>
              </w:tc>
            </w:tr>
          </w:tbl>
          <w:p>
            <w:pPr>
              <w:pStyle w:val="TableContents"/>
              <w:bidi w:val="0"/>
              <w:spacing w:before="0" w:after="283"/>
              <w:jc w:val="left"/>
              <w:rPr/>
            </w:pPr>
            <w:r>
              <w:rPr/>
            </w:r>
          </w:p>
        </w:tc>
        <w:tc>
          <w:tcPr>
            <w:tcW w:w="209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7"/>
        <w:gridCol w:w="4328"/>
      </w:tblGrid>
      <w:tr>
        <w:trPr/>
        <w:tc>
          <w:tcPr>
            <w:tcW w:w="587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Stephanie J. Brown</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Duly authorized under Power of Attorney effective as of January 26, 2023, by and on behalf of Abigail P. Johnson**</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08/05/2026</w:t>
                  </w:r>
                </w:p>
              </w:tc>
            </w:tr>
          </w:tbl>
          <w:p>
            <w:pPr>
              <w:pStyle w:val="TableContents"/>
              <w:bidi w:val="0"/>
              <w:spacing w:before="0" w:after="283"/>
              <w:jc w:val="left"/>
              <w:rPr/>
            </w:pPr>
            <w:r>
              <w:rPr/>
            </w:r>
          </w:p>
        </w:tc>
        <w:tc>
          <w:tcPr>
            <w:tcW w:w="432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b/>
          <w:color w:val="000000"/>
        </w:rPr>
        <w:t>Comments accompanying signature:</w:t>
      </w:r>
      <w:r>
        <w:rPr/>
        <w:t xml:space="preserve">  * This power of attorney is incorporated herein by reference to Exhibit 24 to the Schedule 13G filed by FMR LLC on January 10, 2023, accession number: 0000315066-23-000003. ** This power of attorney is incorporated herein by reference to Exhibit 24 to the Schedule 13G filed by FMR LLC on January 31, 2023, accession number: 0000315066-23-000038. </w:t>
      </w:r>
    </w:p>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Please see Exhibit 99 for 13d-1(k) (1) agreement.</w:t>
            </w:r>
          </w:p>
        </w:tc>
      </w:tr>
    </w:tbl>
    <w:p>
      <w:pPr>
        <w:pStyle w:val="PreformattedText"/>
        <w:bidi w:val="0"/>
        <w:jc w:val="left"/>
        <w:rPr/>
      </w:pPr>
      <w:bookmarkStart w:id="20" w:name="exhibit99.txt"/>
      <w:bookmarkStart w:id="21" w:name="ksexhibit99"/>
      <w:bookmarkEnd w:id="20"/>
      <w:bookmarkEnd w:id="21"/>
      <w:r>
        <w:rPr/>
        <w:t>Exhibit 99</w:t>
      </w:r>
      <w:r>
        <w:br w:type="page"/>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Pursuant to the instructions in Item 7 of Schedule 13G, the following table</w:t>
      </w:r>
    </w:p>
    <w:p>
      <w:pPr>
        <w:pStyle w:val="PreformattedText"/>
        <w:bidi w:val="0"/>
        <w:spacing w:before="0" w:after="0"/>
        <w:jc w:val="left"/>
        <w:rPr/>
      </w:pPr>
      <w:r>
        <w:rPr/>
        <w:t>lists the identity and Item 3 classification, if applicable, of each relevant</w:t>
      </w:r>
    </w:p>
    <w:p>
      <w:pPr>
        <w:pStyle w:val="PreformattedText"/>
        <w:bidi w:val="0"/>
        <w:spacing w:before="0" w:after="0"/>
        <w:jc w:val="left"/>
        <w:rPr/>
      </w:pPr>
      <w:r>
        <w:rPr/>
        <w:t>entity that beneficially owns shares of the security class being reported on</w:t>
      </w:r>
    </w:p>
    <w:p>
      <w:pPr>
        <w:pStyle w:val="PreformattedText"/>
        <w:bidi w:val="0"/>
        <w:spacing w:before="0" w:after="0"/>
        <w:jc w:val="left"/>
        <w:rPr/>
      </w:pPr>
      <w:r>
        <w:rPr/>
        <w:t>this Schedule 13G.</w:t>
      </w:r>
    </w:p>
    <w:p>
      <w:pPr>
        <w:pStyle w:val="PreformattedText"/>
        <w:bidi w:val="0"/>
        <w:spacing w:before="0" w:after="0"/>
        <w:jc w:val="left"/>
        <w:rPr/>
      </w:pPr>
      <w:r>
        <w:rPr/>
      </w:r>
    </w:p>
    <w:p>
      <w:pPr>
        <w:pStyle w:val="PreformattedText"/>
        <w:bidi w:val="0"/>
        <w:spacing w:before="0" w:after="0"/>
        <w:jc w:val="left"/>
        <w:rPr/>
      </w:pPr>
      <w:r>
        <w:rPr/>
        <w:t>Entity   ITEM 3 Classification</w:t>
      </w:r>
    </w:p>
    <w:p>
      <w:pPr>
        <w:pStyle w:val="PreformattedText"/>
        <w:bidi w:val="0"/>
        <w:spacing w:before="0" w:after="0"/>
        <w:jc w:val="left"/>
        <w:rPr/>
      </w:pPr>
      <w:r>
        <w:rPr/>
      </w:r>
    </w:p>
    <w:p>
      <w:pPr>
        <w:pStyle w:val="PreformattedText"/>
        <w:bidi w:val="0"/>
        <w:spacing w:before="0" w:after="0"/>
        <w:jc w:val="left"/>
        <w:rPr/>
      </w:pPr>
      <w:r>
        <w:rPr/>
        <w:t>FIAM LLC  IA</w:t>
      </w:r>
    </w:p>
    <w:p>
      <w:pPr>
        <w:pStyle w:val="PreformattedText"/>
        <w:bidi w:val="0"/>
        <w:spacing w:before="0" w:after="0"/>
        <w:jc w:val="left"/>
        <w:rPr/>
      </w:pPr>
      <w:r>
        <w:rPr/>
        <w:t>Fidelity Institutional Asset Management Trust Company  BK</w:t>
      </w:r>
    </w:p>
    <w:p>
      <w:pPr>
        <w:pStyle w:val="PreformattedText"/>
        <w:bidi w:val="0"/>
        <w:spacing w:before="0" w:after="0"/>
        <w:jc w:val="left"/>
        <w:rPr/>
      </w:pPr>
      <w:r>
        <w:rPr/>
        <w:t>Fidelity Management &amp; Research Company LLC * IA</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 Entity beneficially owns 5% or greater of the outstanding shares of the</w:t>
      </w:r>
    </w:p>
    <w:p>
      <w:pPr>
        <w:pStyle w:val="PreformattedText"/>
        <w:bidi w:val="0"/>
        <w:spacing w:before="0" w:after="0"/>
        <w:jc w:val="left"/>
        <w:rPr/>
      </w:pPr>
      <w:r>
        <w:rPr/>
        <w:t>security class being reported on this Schedule 13G.</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Abigail P. Johnson is a Director, the Chairman and the Chief Executive Officer</w:t>
      </w:r>
    </w:p>
    <w:p>
      <w:pPr>
        <w:pStyle w:val="PreformattedText"/>
        <w:bidi w:val="0"/>
        <w:spacing w:before="0" w:after="0"/>
        <w:jc w:val="left"/>
        <w:rPr/>
      </w:pPr>
      <w:r>
        <w:rPr/>
        <w:t>of FMR LLC.</w:t>
      </w:r>
    </w:p>
    <w:p>
      <w:pPr>
        <w:pStyle w:val="PreformattedText"/>
        <w:bidi w:val="0"/>
        <w:spacing w:before="0" w:after="0"/>
        <w:jc w:val="left"/>
        <w:rPr/>
      </w:pPr>
      <w:r>
        <w:rPr/>
      </w:r>
    </w:p>
    <w:p>
      <w:pPr>
        <w:pStyle w:val="PreformattedText"/>
        <w:bidi w:val="0"/>
        <w:spacing w:before="0" w:after="0"/>
        <w:jc w:val="left"/>
        <w:rPr/>
      </w:pPr>
      <w:r>
        <w:rPr/>
        <w:t>Members of the Johnson family, including Abigail P. Johnson, are the</w:t>
      </w:r>
    </w:p>
    <w:p>
      <w:pPr>
        <w:pStyle w:val="PreformattedText"/>
        <w:bidi w:val="0"/>
        <w:spacing w:before="0" w:after="0"/>
        <w:jc w:val="left"/>
        <w:rPr/>
      </w:pPr>
      <w:r>
        <w:rPr/>
        <w:t>predominant owners, directly or through trusts, of Series B voting common</w:t>
      </w:r>
    </w:p>
    <w:p>
      <w:pPr>
        <w:pStyle w:val="PreformattedText"/>
        <w:bidi w:val="0"/>
        <w:spacing w:before="0" w:after="0"/>
        <w:jc w:val="left"/>
        <w:rPr/>
      </w:pPr>
      <w:r>
        <w:rPr/>
        <w:t>shares of FMR LLC, representing 49% of the voting power of FMR LLC. The</w:t>
      </w:r>
    </w:p>
    <w:p>
      <w:pPr>
        <w:pStyle w:val="PreformattedText"/>
        <w:bidi w:val="0"/>
        <w:spacing w:before="0" w:after="0"/>
        <w:jc w:val="left"/>
        <w:rPr/>
      </w:pPr>
      <w:r>
        <w:rPr/>
        <w:t>Johnson family group and all other Series B shareholders have entered into a</w:t>
      </w:r>
    </w:p>
    <w:p>
      <w:pPr>
        <w:pStyle w:val="PreformattedText"/>
        <w:bidi w:val="0"/>
        <w:spacing w:before="0" w:after="0"/>
        <w:jc w:val="left"/>
        <w:rPr/>
      </w:pPr>
      <w:r>
        <w:rPr/>
        <w:t>shareholders' voting agreement under which all Series B voting common shares</w:t>
      </w:r>
    </w:p>
    <w:p>
      <w:pPr>
        <w:pStyle w:val="PreformattedText"/>
        <w:bidi w:val="0"/>
        <w:spacing w:before="0" w:after="0"/>
        <w:jc w:val="left"/>
        <w:rPr/>
      </w:pPr>
      <w:r>
        <w:rPr/>
        <w:t>will be voted in accordance with the majority vote of Series B voting common</w:t>
      </w:r>
    </w:p>
    <w:p>
      <w:pPr>
        <w:pStyle w:val="PreformattedText"/>
        <w:bidi w:val="0"/>
        <w:spacing w:before="0" w:after="0"/>
        <w:jc w:val="left"/>
        <w:rPr/>
      </w:pPr>
      <w:r>
        <w:rPr/>
        <w:t>shares. Accordingly, through their ownership of voting common shares and the</w:t>
      </w:r>
    </w:p>
    <w:p>
      <w:pPr>
        <w:pStyle w:val="PreformattedText"/>
        <w:bidi w:val="0"/>
        <w:spacing w:before="0" w:after="0"/>
        <w:jc w:val="left"/>
        <w:rPr/>
      </w:pPr>
      <w:r>
        <w:rPr/>
        <w:t>execution of the shareholders' voting agreement, members of the Johnson family</w:t>
      </w:r>
    </w:p>
    <w:p>
      <w:pPr>
        <w:pStyle w:val="PreformattedText"/>
        <w:bidi w:val="0"/>
        <w:spacing w:before="0" w:after="0"/>
        <w:jc w:val="left"/>
        <w:rPr/>
      </w:pPr>
      <w:r>
        <w:rPr/>
        <w:t>may be deemed, under the Investment Company Act of 1940, to form a controlling</w:t>
      </w:r>
    </w:p>
    <w:p>
      <w:pPr>
        <w:pStyle w:val="PreformattedText"/>
        <w:bidi w:val="0"/>
        <w:spacing w:before="0" w:after="0"/>
        <w:jc w:val="left"/>
        <w:rPr/>
      </w:pPr>
      <w:r>
        <w:rPr/>
        <w:t>group with respect to FMR LLC.</w:t>
      </w:r>
    </w:p>
    <w:p>
      <w:pPr>
        <w:pStyle w:val="PreformattedText"/>
        <w:bidi w:val="0"/>
        <w:spacing w:before="0" w:after="0"/>
        <w:jc w:val="left"/>
        <w:rPr/>
      </w:pPr>
      <w:r>
        <w:rPr/>
      </w:r>
    </w:p>
    <w:p>
      <w:pPr>
        <w:pStyle w:val="PreformattedText"/>
        <w:bidi w:val="0"/>
        <w:spacing w:before="0" w:after="0"/>
        <w:jc w:val="left"/>
        <w:rPr/>
      </w:pPr>
      <w:r>
        <w:rPr/>
        <w:t>This filing reflects the securities beneficially owned, or that may be deemed</w:t>
      </w:r>
    </w:p>
    <w:p>
      <w:pPr>
        <w:pStyle w:val="PreformattedText"/>
        <w:bidi w:val="0"/>
        <w:spacing w:before="0" w:after="0"/>
        <w:jc w:val="left"/>
        <w:rPr/>
      </w:pPr>
      <w:r>
        <w:rPr/>
        <w:t>to be beneficially owned, by FMR LLC, certain of its subsidiaries and</w:t>
      </w:r>
    </w:p>
    <w:p>
      <w:pPr>
        <w:pStyle w:val="PreformattedText"/>
        <w:bidi w:val="0"/>
        <w:spacing w:before="0" w:after="0"/>
        <w:jc w:val="left"/>
        <w:rPr/>
      </w:pPr>
      <w:r>
        <w:rPr/>
        <w:t>affiliates, and other companies (collectively, the "FMR Reporters"). This</w:t>
      </w:r>
    </w:p>
    <w:p>
      <w:pPr>
        <w:pStyle w:val="PreformattedText"/>
        <w:bidi w:val="0"/>
        <w:spacing w:before="0" w:after="0"/>
        <w:jc w:val="left"/>
        <w:rPr/>
      </w:pPr>
      <w:r>
        <w:rPr/>
        <w:t>filing does not reflect securities, if any, beneficially owned by certain</w:t>
      </w:r>
    </w:p>
    <w:p>
      <w:pPr>
        <w:pStyle w:val="PreformattedText"/>
        <w:bidi w:val="0"/>
        <w:spacing w:before="0" w:after="0"/>
        <w:jc w:val="left"/>
        <w:rPr/>
      </w:pPr>
      <w:r>
        <w:rPr/>
        <w:t>other companies whose beneficial ownership of securities is disaggregated from</w:t>
      </w:r>
    </w:p>
    <w:p>
      <w:pPr>
        <w:pStyle w:val="PreformattedText"/>
        <w:bidi w:val="0"/>
        <w:spacing w:before="0" w:after="0"/>
        <w:jc w:val="left"/>
        <w:rPr/>
      </w:pPr>
      <w:r>
        <w:rPr/>
        <w:t>that of the FMR Reporters in accordance with Securities and Exchange</w:t>
      </w:r>
    </w:p>
    <w:p>
      <w:pPr>
        <w:pStyle w:val="PreformattedText"/>
        <w:bidi w:val="0"/>
        <w:spacing w:before="0" w:after="0"/>
        <w:jc w:val="left"/>
        <w:rPr/>
      </w:pPr>
      <w:r>
        <w:rPr/>
        <w:t>Commission Release No. 34-39538 (January 12, 1998).</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RULE 13d-1(k)(1) AGREEMENT</w:t>
      </w:r>
    </w:p>
    <w:p>
      <w:pPr>
        <w:pStyle w:val="PreformattedText"/>
        <w:bidi w:val="0"/>
        <w:spacing w:before="0" w:after="0"/>
        <w:jc w:val="left"/>
        <w:rPr/>
      </w:pPr>
      <w:r>
        <w:rPr/>
      </w:r>
    </w:p>
    <w:p>
      <w:pPr>
        <w:pStyle w:val="PreformattedText"/>
        <w:bidi w:val="0"/>
        <w:spacing w:before="0" w:after="0"/>
        <w:jc w:val="left"/>
        <w:rPr/>
      </w:pPr>
      <w:r>
        <w:rPr/>
        <w:t>The undersigned persons, on August 5, 2026, agree and consent to the joint</w:t>
      </w:r>
    </w:p>
    <w:p>
      <w:pPr>
        <w:pStyle w:val="PreformattedText"/>
        <w:bidi w:val="0"/>
        <w:spacing w:before="0" w:after="0"/>
        <w:jc w:val="left"/>
        <w:rPr/>
      </w:pPr>
      <w:r>
        <w:rPr/>
        <w:t>filing on their behalf of this Schedule 13G in connection with their</w:t>
      </w:r>
    </w:p>
    <w:p>
      <w:pPr>
        <w:pStyle w:val="PreformattedText"/>
        <w:bidi w:val="0"/>
        <w:spacing w:before="0" w:after="0"/>
        <w:jc w:val="left"/>
        <w:rPr/>
      </w:pPr>
      <w:r>
        <w:rPr/>
        <w:t>beneficial ownership of the COMMON STOCK of VOR BIOPHARMA INC at June 30,</w:t>
      </w:r>
    </w:p>
    <w:p>
      <w:pPr>
        <w:pStyle w:val="PreformattedText"/>
        <w:bidi w:val="0"/>
        <w:spacing w:before="0" w:after="0"/>
        <w:jc w:val="left"/>
        <w:rPr/>
      </w:pPr>
      <w:r>
        <w:rPr/>
        <w:t>2026.</w:t>
      </w:r>
    </w:p>
    <w:p>
      <w:pPr>
        <w:pStyle w:val="PreformattedText"/>
        <w:bidi w:val="0"/>
        <w:spacing w:before="0" w:after="0"/>
        <w:jc w:val="left"/>
        <w:rPr/>
      </w:pPr>
      <w:r>
        <w:rPr/>
      </w:r>
    </w:p>
    <w:p>
      <w:pPr>
        <w:pStyle w:val="PreformattedText"/>
        <w:bidi w:val="0"/>
        <w:spacing w:before="0" w:after="0"/>
        <w:jc w:val="left"/>
        <w:rPr/>
      </w:pPr>
      <w:r>
        <w:rPr/>
        <w:t>FMR LLC</w:t>
      </w:r>
    </w:p>
    <w:p>
      <w:pPr>
        <w:pStyle w:val="PreformattedText"/>
        <w:bidi w:val="0"/>
        <w:spacing w:before="0" w:after="0"/>
        <w:jc w:val="left"/>
        <w:rPr/>
      </w:pPr>
      <w:r>
        <w:rPr/>
      </w:r>
    </w:p>
    <w:p>
      <w:pPr>
        <w:pStyle w:val="PreformattedText"/>
        <w:bidi w:val="0"/>
        <w:spacing w:before="0" w:after="0"/>
        <w:jc w:val="left"/>
        <w:rPr/>
      </w:pPr>
      <w:r>
        <w:rPr/>
        <w:t>By /s/ Stephanie J. Brown</w:t>
      </w:r>
    </w:p>
    <w:p>
      <w:pPr>
        <w:pStyle w:val="PreformattedText"/>
        <w:bidi w:val="0"/>
        <w:spacing w:before="0" w:after="0"/>
        <w:jc w:val="left"/>
        <w:rPr/>
      </w:pPr>
      <w:r>
        <w:rPr/>
        <w:t>Stephanie J. Brown</w:t>
      </w:r>
    </w:p>
    <w:p>
      <w:pPr>
        <w:pStyle w:val="PreformattedText"/>
        <w:bidi w:val="0"/>
        <w:spacing w:before="0" w:after="0"/>
        <w:jc w:val="left"/>
        <w:rPr/>
      </w:pPr>
      <w:r>
        <w:rPr/>
        <w:t>Duly authorized under Power of Attorney effective as of January 3, 2023, by</w:t>
      </w:r>
    </w:p>
    <w:p>
      <w:pPr>
        <w:pStyle w:val="PreformattedText"/>
        <w:bidi w:val="0"/>
        <w:spacing w:before="0" w:after="0"/>
        <w:jc w:val="left"/>
        <w:rPr/>
      </w:pPr>
      <w:r>
        <w:rPr/>
        <w:t>and on behalf of FMR LLC and its direct and indirect subsidiaries*</w:t>
      </w:r>
    </w:p>
    <w:p>
      <w:pPr>
        <w:pStyle w:val="PreformattedText"/>
        <w:bidi w:val="0"/>
        <w:spacing w:before="0" w:after="0"/>
        <w:jc w:val="left"/>
        <w:rPr/>
      </w:pPr>
      <w:r>
        <w:rPr/>
      </w:r>
    </w:p>
    <w:p>
      <w:pPr>
        <w:pStyle w:val="PreformattedText"/>
        <w:bidi w:val="0"/>
        <w:spacing w:before="0" w:after="0"/>
        <w:jc w:val="left"/>
        <w:rPr/>
      </w:pPr>
      <w:r>
        <w:rPr/>
        <w:t>Abigail P. Johnson</w:t>
      </w:r>
    </w:p>
    <w:p>
      <w:pPr>
        <w:pStyle w:val="PreformattedText"/>
        <w:bidi w:val="0"/>
        <w:spacing w:before="0" w:after="0"/>
        <w:jc w:val="left"/>
        <w:rPr/>
      </w:pPr>
      <w:r>
        <w:rPr/>
      </w:r>
    </w:p>
    <w:p>
      <w:pPr>
        <w:pStyle w:val="PreformattedText"/>
        <w:bidi w:val="0"/>
        <w:spacing w:before="0" w:after="0"/>
        <w:jc w:val="left"/>
        <w:rPr/>
      </w:pPr>
      <w:r>
        <w:rPr/>
        <w:t>By /s/ Stephanie J. Brown</w:t>
      </w:r>
    </w:p>
    <w:p>
      <w:pPr>
        <w:pStyle w:val="PreformattedText"/>
        <w:bidi w:val="0"/>
        <w:spacing w:before="0" w:after="0"/>
        <w:jc w:val="left"/>
        <w:rPr/>
      </w:pPr>
      <w:r>
        <w:rPr/>
        <w:t>Stephanie J. Brown</w:t>
      </w:r>
    </w:p>
    <w:p>
      <w:pPr>
        <w:pStyle w:val="PreformattedText"/>
        <w:bidi w:val="0"/>
        <w:spacing w:before="0" w:after="0"/>
        <w:jc w:val="left"/>
        <w:rPr/>
      </w:pPr>
      <w:r>
        <w:rPr/>
        <w:t>Duly authorized under Power of Attorney effective as of January 26, 2023, by</w:t>
      </w:r>
    </w:p>
    <w:p>
      <w:pPr>
        <w:pStyle w:val="PreformattedText"/>
        <w:bidi w:val="0"/>
        <w:spacing w:before="0" w:after="0"/>
        <w:jc w:val="left"/>
        <w:rPr/>
      </w:pPr>
      <w:r>
        <w:rPr/>
        <w:t>and on behalf of Abigail P. Johnson**</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 This power of attorney is incorporated herein by reference to Exhibit 24 to</w:t>
      </w:r>
    </w:p>
    <w:p>
      <w:pPr>
        <w:pStyle w:val="PreformattedText"/>
        <w:bidi w:val="0"/>
        <w:spacing w:before="0" w:after="0"/>
        <w:jc w:val="left"/>
        <w:rPr/>
      </w:pPr>
      <w:r>
        <w:rPr/>
        <w:t>the Schedule 13G filed by FMR LLC on January 10, 2023, accession number:</w:t>
      </w:r>
    </w:p>
    <w:p>
      <w:pPr>
        <w:pStyle w:val="PreformattedText"/>
        <w:bidi w:val="0"/>
        <w:spacing w:before="0" w:after="0"/>
        <w:jc w:val="left"/>
        <w:rPr/>
      </w:pPr>
      <w:r>
        <w:rPr/>
        <w:t>0000315066-23-000003.</w:t>
      </w:r>
    </w:p>
    <w:p>
      <w:pPr>
        <w:pStyle w:val="PreformattedText"/>
        <w:bidi w:val="0"/>
        <w:spacing w:before="0" w:after="0"/>
        <w:jc w:val="left"/>
        <w:rPr/>
      </w:pPr>
      <w:r>
        <w:rPr/>
      </w:r>
    </w:p>
    <w:p>
      <w:pPr>
        <w:pStyle w:val="PreformattedText"/>
        <w:bidi w:val="0"/>
        <w:spacing w:before="0" w:after="0"/>
        <w:jc w:val="left"/>
        <w:rPr/>
      </w:pPr>
      <w:r>
        <w:rPr/>
        <w:t>** This power of attorney is incorporated herein by reference to Exhibit 24 to</w:t>
      </w:r>
    </w:p>
    <w:p>
      <w:pPr>
        <w:pStyle w:val="PreformattedText"/>
        <w:bidi w:val="0"/>
        <w:spacing w:before="0" w:after="0"/>
        <w:jc w:val="left"/>
        <w:rPr/>
      </w:pPr>
      <w:r>
        <w:rPr/>
        <w:t>the Schedule 13G filed by FMR LLC on January 31, 2023, accession number:</w:t>
      </w:r>
    </w:p>
    <w:p>
      <w:pPr>
        <w:pStyle w:val="PreformattedText"/>
        <w:bidi w:val="0"/>
        <w:spacing w:before="0" w:after="0"/>
        <w:jc w:val="left"/>
        <w:rPr/>
      </w:pPr>
      <w:r>
        <w:rPr/>
        <w:t>0000315066-23-000038.</w:t>
      </w:r>
    </w:p>
    <w:p>
      <w:pPr>
        <w:pStyle w:val="PreformattedText"/>
        <w:bidi w:val="0"/>
        <w:spacing w:before="0" w:after="0"/>
        <w:jc w:val="left"/>
        <w:rPr/>
      </w:pPr>
      <w:r>
        <w:rPr/>
      </w:r>
    </w:p>
    <w:p>
      <w:pPr>
        <w:pStyle w:val="PreformattedText"/>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1623</Words>
  <Characters>8302</Characters>
  <CharactersWithSpaces>9847</CharactersWithSpaces>
  <Paragraphs>262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