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05320ds3asr.htm"/>
        <w:bookmarkStart w:id="1" w:name="ksd105320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September 4,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0"/>
        </w:rPr>
      </w:pPr>
      <w:r>
        <w:rPr>
          <w:rFonts w:ascii="Times New Roman" w:hAnsi="Times New Roman"/>
          <w:b/>
          <w:sz w:val="30"/>
        </w:rPr>
        <w:t xml:space="preserve">UNITED STATES </w:t>
      </w:r>
    </w:p>
    <w:p>
      <w:pPr>
        <w:pStyle w:val="TextBody"/>
        <w:bidi w:val="0"/>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0"/>
        </w:rPr>
      </w:pPr>
      <w:r>
        <w:rPr>
          <w:rFonts w:ascii="Times New Roman" w:hAnsi="Times New Roman"/>
          <w:b/>
          <w:sz w:val="30"/>
        </w:rPr>
        <w:t>FORM S-3</w:t>
      </w:r>
    </w:p>
    <w:p>
      <w:pPr>
        <w:pStyle w:val="TextBody"/>
        <w:bidi w:val="0"/>
        <w:spacing w:before="0" w:after="0"/>
        <w:jc w:val="center"/>
        <w:rPr>
          <w:rFonts w:ascii="Times New Roman" w:hAnsi="Times New Roman"/>
          <w:b/>
          <w:sz w:val="30"/>
        </w:rPr>
      </w:pPr>
      <w:r>
        <w:rPr>
          <w:rFonts w:ascii="Times New Roman" w:hAnsi="Times New Roman"/>
          <w:b/>
          <w:sz w:val="30"/>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Vor Biopharma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81-1591163</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240" w:after="0"/>
        <w:jc w:val="center"/>
        <w:rPr>
          <w:rFonts w:ascii="Times New Roman" w:hAnsi="Times New Roman"/>
          <w:b/>
          <w:sz w:val="16"/>
        </w:rPr>
      </w:pPr>
      <w:r>
        <w:rPr>
          <w:rFonts w:ascii="Times New Roman" w:hAnsi="Times New Roman"/>
          <w:b/>
          <w:sz w:val="16"/>
        </w:rPr>
        <w:t xml:space="preserve">500 Boylston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1350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02116 </w:t>
      </w:r>
    </w:p>
    <w:p>
      <w:pPr>
        <w:pStyle w:val="TextBody"/>
        <w:bidi w:val="0"/>
        <w:spacing w:before="0" w:after="0"/>
        <w:jc w:val="center"/>
        <w:rPr>
          <w:rFonts w:ascii="Times New Roman" w:hAnsi="Times New Roman"/>
          <w:b/>
          <w:sz w:val="16"/>
        </w:rPr>
      </w:pPr>
      <w:r>
        <w:rPr>
          <w:rFonts w:ascii="Times New Roman" w:hAnsi="Times New Roman"/>
          <w:b/>
          <w:sz w:val="16"/>
        </w:rPr>
        <w:t>(617) 655-6580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Jean-Paul Kress, M.D. </w:t>
      </w:r>
    </w:p>
    <w:p>
      <w:pPr>
        <w:pStyle w:val="TextBody"/>
        <w:bidi w:val="0"/>
        <w:spacing w:before="0" w:after="0"/>
        <w:jc w:val="center"/>
        <w:rPr>
          <w:rFonts w:ascii="Times New Roman" w:hAnsi="Times New Roman"/>
          <w:b/>
          <w:sz w:val="16"/>
        </w:rPr>
      </w:pPr>
      <w:r>
        <w:rPr>
          <w:rFonts w:ascii="Times New Roman" w:hAnsi="Times New Roman"/>
          <w:b/>
          <w:sz w:val="16"/>
        </w:rPr>
        <w:t xml:space="preserve">President, Chief Executive Officer and Chairman </w:t>
      </w:r>
    </w:p>
    <w:p>
      <w:pPr>
        <w:pStyle w:val="TextBody"/>
        <w:bidi w:val="0"/>
        <w:spacing w:before="0" w:after="0"/>
        <w:jc w:val="center"/>
        <w:rPr>
          <w:rFonts w:ascii="Times New Roman" w:hAnsi="Times New Roman"/>
          <w:b/>
          <w:sz w:val="16"/>
        </w:rPr>
      </w:pPr>
      <w:r>
        <w:rPr>
          <w:rFonts w:ascii="Times New Roman" w:hAnsi="Times New Roman"/>
          <w:b/>
          <w:sz w:val="16"/>
        </w:rPr>
        <w:t xml:space="preserve">Vor Biopharma Inc. </w:t>
      </w:r>
    </w:p>
    <w:p>
      <w:pPr>
        <w:pStyle w:val="TextBody"/>
        <w:bidi w:val="0"/>
        <w:spacing w:before="0" w:after="0"/>
        <w:jc w:val="center"/>
        <w:rPr>
          <w:rFonts w:ascii="Times New Roman" w:hAnsi="Times New Roman"/>
          <w:b/>
          <w:sz w:val="16"/>
        </w:rPr>
      </w:pPr>
      <w:r>
        <w:rPr>
          <w:rFonts w:ascii="Times New Roman" w:hAnsi="Times New Roman"/>
          <w:b/>
          <w:sz w:val="16"/>
        </w:rPr>
        <w:t xml:space="preserve">500 Boylston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Suite 1350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02116 </w:t>
      </w:r>
    </w:p>
    <w:p>
      <w:pPr>
        <w:pStyle w:val="TextBody"/>
        <w:bidi w:val="0"/>
        <w:spacing w:before="0" w:after="0"/>
        <w:jc w:val="center"/>
        <w:rPr>
          <w:rFonts w:ascii="Times New Roman" w:hAnsi="Times New Roman"/>
          <w:b/>
          <w:sz w:val="16"/>
        </w:rPr>
      </w:pPr>
      <w:r>
        <w:rPr>
          <w:rFonts w:ascii="Times New Roman" w:hAnsi="Times New Roman"/>
          <w:b/>
          <w:sz w:val="16"/>
        </w:rPr>
        <w:t>(617) 655-6580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120" w:after="0"/>
        <w:jc w:val="center"/>
        <w:rPr>
          <w:rFonts w:ascii="Times New Roman" w:hAnsi="Times New Roman"/>
          <w:b/>
          <w:sz w:val="16"/>
        </w:rPr>
      </w:pPr>
      <w:r>
        <w:rPr>
          <w:rFonts w:ascii="Times New Roman" w:hAnsi="Times New Roman"/>
          <w:b/>
          <w:sz w:val="16"/>
        </w:rPr>
        <w:t xml:space="preserve">Paul M. Kinsella </w:t>
      </w:r>
    </w:p>
    <w:p>
      <w:pPr>
        <w:pStyle w:val="TextBody"/>
        <w:bidi w:val="0"/>
        <w:spacing w:before="0" w:after="0"/>
        <w:jc w:val="center"/>
        <w:rPr>
          <w:rFonts w:ascii="Times New Roman" w:hAnsi="Times New Roman"/>
          <w:b/>
          <w:sz w:val="16"/>
        </w:rPr>
      </w:pPr>
      <w:r>
        <w:rPr>
          <w:rFonts w:ascii="Times New Roman" w:hAnsi="Times New Roman"/>
          <w:b/>
          <w:sz w:val="16"/>
        </w:rPr>
        <w:t xml:space="preserve">William J. Michener </w:t>
      </w:r>
    </w:p>
    <w:p>
      <w:pPr>
        <w:pStyle w:val="TextBody"/>
        <w:bidi w:val="0"/>
        <w:spacing w:before="0" w:after="0"/>
        <w:jc w:val="center"/>
        <w:rPr>
          <w:rFonts w:ascii="Times New Roman" w:hAnsi="Times New Roman"/>
          <w:b/>
          <w:sz w:val="16"/>
        </w:rPr>
      </w:pPr>
      <w:r>
        <w:rPr>
          <w:rFonts w:ascii="Times New Roman" w:hAnsi="Times New Roman"/>
          <w:b/>
          <w:sz w:val="16"/>
        </w:rPr>
        <w:t xml:space="preserve">Ropes &amp; Gray LLP </w:t>
      </w:r>
    </w:p>
    <w:p>
      <w:pPr>
        <w:pStyle w:val="TextBody"/>
        <w:bidi w:val="0"/>
        <w:spacing w:before="0" w:after="0"/>
        <w:jc w:val="center"/>
        <w:rPr>
          <w:rFonts w:ascii="Times New Roman" w:hAnsi="Times New Roman"/>
          <w:b/>
          <w:sz w:val="16"/>
        </w:rPr>
      </w:pPr>
      <w:r>
        <w:rPr>
          <w:rFonts w:ascii="Times New Roman" w:hAnsi="Times New Roman"/>
          <w:b/>
          <w:sz w:val="16"/>
        </w:rPr>
        <w:t xml:space="preserve">Prudential Tower </w:t>
      </w:r>
    </w:p>
    <w:p>
      <w:pPr>
        <w:pStyle w:val="TextBody"/>
        <w:bidi w:val="0"/>
        <w:spacing w:before="0" w:after="0"/>
        <w:jc w:val="center"/>
        <w:rPr>
          <w:rFonts w:ascii="Times New Roman" w:hAnsi="Times New Roman"/>
          <w:b/>
          <w:sz w:val="16"/>
        </w:rPr>
      </w:pPr>
      <w:r>
        <w:rPr>
          <w:rFonts w:ascii="Times New Roman" w:hAnsi="Times New Roman"/>
          <w:b/>
          <w:sz w:val="16"/>
        </w:rPr>
        <w:t xml:space="preserve">800 Boylston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Massachusetts 02199 </w:t>
      </w:r>
    </w:p>
    <w:p>
      <w:pPr>
        <w:pStyle w:val="TextBody"/>
        <w:bidi w:val="0"/>
        <w:spacing w:before="0" w:after="0"/>
        <w:jc w:val="center"/>
        <w:rPr>
          <w:rFonts w:ascii="Times New Roman" w:hAnsi="Times New Roman"/>
          <w:b/>
          <w:sz w:val="16"/>
        </w:rPr>
      </w:pPr>
      <w:r>
        <w:rPr>
          <w:rFonts w:ascii="Times New Roman" w:hAnsi="Times New Roman"/>
          <w:b/>
          <w:sz w:val="16"/>
        </w:rPr>
        <w:t xml:space="preserve">(617) 951-7000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From time to time after the effective date of this Registration Statement </w:t>
      </w:r>
    </w:p>
    <w:p>
      <w:pPr>
        <w:pStyle w:val="TextBody"/>
        <w:bidi w:val="0"/>
        <w:spacing w:before="0" w:after="0"/>
        <w:jc w:val="center"/>
        <w:rPr>
          <w:rFonts w:ascii="Times New Roman" w:hAnsi="Times New Roman"/>
          <w:b/>
          <w:sz w:val="14"/>
        </w:rPr>
      </w:pPr>
      <w:r>
        <w:rPr>
          <w:rFonts w:ascii="Times New Roman" w:hAnsi="Times New Roman"/>
          <w:b/>
          <w:sz w:val="14"/>
        </w:rPr>
        <w:t xml:space="preserve">(Approximate date of commencement of proposed sale to the public)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2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75"/>
        <w:gridCol w:w="103"/>
        <w:gridCol w:w="4676"/>
        <w:gridCol w:w="130"/>
        <w:gridCol w:w="2758"/>
        <w:gridCol w:w="103"/>
        <w:gridCol w:w="260"/>
      </w:tblGrid>
      <w:tr>
        <w:trPr/>
        <w:tc>
          <w:tcPr>
            <w:tcW w:w="217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67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175"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758"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r>
        <w:trPr>
          <w:trHeight w:val="120" w:hRule="atLeast"/>
        </w:trPr>
        <w:tc>
          <w:tcPr>
            <w:tcW w:w="2175" w:type="dxa"/>
            <w:tcBorders/>
            <w:vAlign w:val="center"/>
          </w:tcPr>
          <w:p>
            <w:pPr>
              <w:pStyle w:val="TableContents"/>
              <w:bidi w:val="0"/>
              <w:spacing w:before="0" w:after="283"/>
              <w:jc w:val="left"/>
              <w:rPr>
                <w:sz w:val="4"/>
                <w:szCs w:val="4"/>
              </w:rPr>
            </w:pPr>
            <w:r>
              <w:rPr>
                <w:sz w:val="4"/>
                <w:szCs w:val="4"/>
              </w:rPr>
            </w:r>
          </w:p>
        </w:tc>
        <w:tc>
          <w:tcPr>
            <w:tcW w:w="4779" w:type="dxa"/>
            <w:gridSpan w:val="2"/>
            <w:tcBorders/>
            <w:vAlign w:val="center"/>
          </w:tcPr>
          <w:p>
            <w:pPr>
              <w:pStyle w:val="TableContents"/>
              <w:bidi w:val="0"/>
              <w:spacing w:before="0" w:after="283"/>
              <w:jc w:val="left"/>
              <w:rPr>
                <w:sz w:val="4"/>
                <w:szCs w:val="4"/>
              </w:rPr>
            </w:pPr>
            <w:r>
              <w:rPr>
                <w:sz w:val="4"/>
                <w:szCs w:val="4"/>
              </w:rPr>
            </w:r>
          </w:p>
        </w:tc>
        <w:tc>
          <w:tcPr>
            <w:tcW w:w="2888"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75"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758"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r>
        <w:trPr>
          <w:trHeight w:val="120" w:hRule="atLeast"/>
        </w:trPr>
        <w:tc>
          <w:tcPr>
            <w:tcW w:w="2175" w:type="dxa"/>
            <w:tcBorders/>
            <w:vAlign w:val="center"/>
          </w:tcPr>
          <w:p>
            <w:pPr>
              <w:pStyle w:val="TableContents"/>
              <w:bidi w:val="0"/>
              <w:spacing w:before="0" w:after="283"/>
              <w:jc w:val="left"/>
              <w:rPr>
                <w:sz w:val="4"/>
                <w:szCs w:val="4"/>
              </w:rPr>
            </w:pPr>
            <w:r>
              <w:rPr>
                <w:sz w:val="4"/>
                <w:szCs w:val="4"/>
              </w:rPr>
            </w:r>
          </w:p>
        </w:tc>
        <w:tc>
          <w:tcPr>
            <w:tcW w:w="4779" w:type="dxa"/>
            <w:gridSpan w:val="2"/>
            <w:tcBorders/>
            <w:vAlign w:val="center"/>
          </w:tcPr>
          <w:p>
            <w:pPr>
              <w:pStyle w:val="TableContents"/>
              <w:bidi w:val="0"/>
              <w:spacing w:before="0" w:after="283"/>
              <w:jc w:val="left"/>
              <w:rPr>
                <w:sz w:val="4"/>
                <w:szCs w:val="4"/>
              </w:rPr>
            </w:pPr>
            <w:r>
              <w:rPr>
                <w:sz w:val="4"/>
                <w:szCs w:val="4"/>
              </w:rPr>
            </w:r>
          </w:p>
        </w:tc>
        <w:tc>
          <w:tcPr>
            <w:tcW w:w="2888" w:type="dxa"/>
            <w:gridSpan w:val="2"/>
            <w:tcBorders/>
            <w:vAlign w:val="center"/>
          </w:tcPr>
          <w:p>
            <w:pPr>
              <w:pStyle w:val="TableContents"/>
              <w:bidi w:val="0"/>
              <w:spacing w:before="0" w:after="283"/>
              <w:jc w:val="left"/>
              <w:rPr>
                <w:sz w:val="4"/>
                <w:szCs w:val="4"/>
              </w:rPr>
            </w:pPr>
            <w:r>
              <w:rPr>
                <w:sz w:val="4"/>
                <w:szCs w:val="4"/>
              </w:rPr>
            </w:r>
          </w:p>
        </w:tc>
        <w:tc>
          <w:tcPr>
            <w:tcW w:w="363" w:type="dxa"/>
            <w:gridSpan w:val="2"/>
            <w:tcBorders/>
            <w:vAlign w:val="center"/>
          </w:tcPr>
          <w:p>
            <w:pPr>
              <w:pStyle w:val="TableContents"/>
              <w:bidi w:val="0"/>
              <w:spacing w:before="0" w:after="283"/>
              <w:jc w:val="left"/>
              <w:rPr>
                <w:sz w:val="4"/>
                <w:szCs w:val="4"/>
              </w:rPr>
            </w:pPr>
            <w:r>
              <w:rPr>
                <w:sz w:val="4"/>
                <w:szCs w:val="4"/>
              </w:rPr>
            </w:r>
          </w:p>
        </w:tc>
      </w:tr>
      <w:tr>
        <w:trPr/>
        <w:tc>
          <w:tcPr>
            <w:tcW w:w="217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676"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758"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19"/>
        </w:rPr>
      </w:pPr>
      <w:r>
        <w:rPr>
          <w:rFonts w:ascii="Times New Roman" w:hAnsi="Times New Roman"/>
          <w:b/>
          <w:sz w:val="19"/>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3376295" cy="12077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76295" cy="12077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Common Stock </w:t>
      </w:r>
    </w:p>
    <w:p>
      <w:pPr>
        <w:pStyle w:val="TextBody"/>
        <w:bidi w:val="0"/>
        <w:spacing w:before="0" w:after="0"/>
        <w:jc w:val="center"/>
        <w:rPr>
          <w:rFonts w:ascii="Times New Roman" w:hAnsi="Times New Roman"/>
          <w:b/>
          <w:sz w:val="24"/>
        </w:rPr>
      </w:pPr>
      <w:r>
        <w:rPr>
          <w:rFonts w:ascii="Times New Roman" w:hAnsi="Times New Roman"/>
          <w:b/>
          <w:sz w:val="24"/>
        </w:rPr>
        <w:t xml:space="preserve">Preferred Stock </w:t>
      </w:r>
    </w:p>
    <w:p>
      <w:pPr>
        <w:pStyle w:val="TextBody"/>
        <w:bidi w:val="0"/>
        <w:spacing w:before="0" w:after="0"/>
        <w:jc w:val="center"/>
        <w:rPr>
          <w:rFonts w:ascii="Times New Roman" w:hAnsi="Times New Roman"/>
          <w:b/>
          <w:sz w:val="24"/>
        </w:rPr>
      </w:pPr>
      <w:r>
        <w:rPr>
          <w:rFonts w:ascii="Times New Roman" w:hAnsi="Times New Roman"/>
          <w:b/>
          <w:sz w:val="24"/>
        </w:rPr>
        <w:t xml:space="preserve">Debt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Warrants </w:t>
      </w:r>
    </w:p>
    <w:p>
      <w:pPr>
        <w:pStyle w:val="TextBody"/>
        <w:bidi w:val="0"/>
        <w:spacing w:before="0" w:after="0"/>
        <w:jc w:val="center"/>
        <w:rPr>
          <w:rFonts w:ascii="Times New Roman" w:hAnsi="Times New Roman"/>
          <w:b/>
          <w:sz w:val="24"/>
        </w:rPr>
      </w:pPr>
      <w:r>
        <w:rPr>
          <w:rFonts w:ascii="Times New Roman" w:hAnsi="Times New Roman"/>
          <w:b/>
          <w:sz w:val="24"/>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9"/>
        </w:rPr>
      </w:pPr>
      <w:r>
        <w:rPr>
          <w:rFonts w:ascii="Times New Roman" w:hAnsi="Times New Roman"/>
          <w:sz w:val="19"/>
        </w:rPr>
        <w:t xml:space="preserve">From time to time, we may offer and sell, in one or more offerings, an indeterminate number of shares of our common stock, preferred stock, debt securities, warrants, units or any combination thereof, at prices and at terms that we will determine at the time of the offering. We may also offer securities as may be issuable upon conversion, redemption, repurchase, exchange or exercise of any securities registered hereunder, including any applicable antidilution provisions. </w:t>
      </w:r>
    </w:p>
    <w:p>
      <w:pPr>
        <w:pStyle w:val="TextBody"/>
        <w:bidi w:val="0"/>
        <w:spacing w:before="240" w:after="0"/>
        <w:jc w:val="left"/>
        <w:rPr>
          <w:rFonts w:ascii="Times New Roman" w:hAnsi="Times New Roman"/>
          <w:sz w:val="19"/>
        </w:rPr>
      </w:pPr>
      <w:r>
        <w:rPr>
          <w:rFonts w:ascii="Times New Roman" w:hAnsi="Times New Roman"/>
          <w:sz w:val="19"/>
        </w:rPr>
        <w:t xml:space="preserve">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before="240" w:after="0"/>
        <w:jc w:val="left"/>
        <w:rPr>
          <w:rFonts w:ascii="Times New Roman" w:hAnsi="Times New Roman"/>
          <w:sz w:val="19"/>
        </w:rPr>
      </w:pPr>
      <w:r>
        <w:rPr>
          <w:rFonts w:ascii="Times New Roman" w:hAnsi="Times New Roman"/>
          <w:sz w:val="19"/>
        </w:rPr>
        <w:t xml:space="preserve">We are an “emerging growth company” and “smaller reporting company” under the federal securities laws and, as such, are subject to reduced public company reporting requirements. See “Summary—Implications of Being an Emerging Growth Company and Smaller Reporting Company.” </w:t>
      </w:r>
    </w:p>
    <w:p>
      <w:pPr>
        <w:pStyle w:val="TextBody"/>
        <w:bidi w:val="0"/>
        <w:spacing w:before="240" w:after="0"/>
        <w:jc w:val="left"/>
        <w:rPr>
          <w:rFonts w:ascii="Times New Roman" w:hAnsi="Times New Roman"/>
          <w:b/>
          <w:sz w:val="24"/>
        </w:rPr>
      </w:pPr>
      <w:r>
        <w:rPr>
          <w:rFonts w:ascii="Times New Roman" w:hAnsi="Times New Roman"/>
          <w:b/>
          <w:sz w:val="24"/>
        </w:rPr>
        <w:t xml:space="preserve">This prospectus may not be used to consummate a sale of any securities unless accompanied by a prospectus supplement. </w:t>
      </w:r>
    </w:p>
    <w:p>
      <w:pPr>
        <w:pStyle w:val="TextBody"/>
        <w:bidi w:val="0"/>
        <w:spacing w:before="240" w:after="0"/>
        <w:jc w:val="left"/>
        <w:rPr>
          <w:rFonts w:ascii="Times New Roman" w:hAnsi="Times New Roman"/>
          <w:sz w:val="19"/>
        </w:rPr>
      </w:pPr>
      <w:r>
        <w:rPr>
          <w:rFonts w:ascii="Times New Roman" w:hAnsi="Times New Roman"/>
          <w:sz w:val="19"/>
        </w:rPr>
        <w:t xml:space="preserve">Our common stock is traded on The Nasdaq Global Select Market under the symbol “VOR.” On September 3, 2026, the last reported sales price of our common stock was $24.24 per share. The applicable prospectus supplement will contain information, where applicable, as to any other listing on The Nasdaq Global Select Market or any securities market or other exchange of the securities, if any, covered by the prospectus supplement. </w:t>
      </w:r>
    </w:p>
    <w:p>
      <w:pPr>
        <w:pStyle w:val="TextBody"/>
        <w:bidi w:val="0"/>
        <w:spacing w:before="240" w:after="0"/>
        <w:jc w:val="left"/>
        <w:rPr>
          <w:rFonts w:ascii="Times New Roman" w:hAnsi="Times New Roman"/>
          <w:sz w:val="19"/>
        </w:rPr>
      </w:pPr>
      <w:r>
        <w:rPr>
          <w:rFonts w:ascii="Times New Roman" w:hAnsi="Times New Roman"/>
          <w:sz w:val="19"/>
        </w:rPr>
        <w:t xml:space="preserve">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options to purchase additional securities will be set forth in a prospectus supplement. The price to the public of such securities and the net proceeds we expect to receive from such sale will also be set forth in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i/>
          <w:sz w:val="24"/>
        </w:rPr>
        <w:t>Investing in our securities involves a high degree of risk. You should review carefully the risks and uncertainties described under the heading “</w:t>
      </w:r>
      <w:hyperlink w:anchor="tx105320_3">
        <w:r>
          <w:rPr>
            <w:rStyle w:val="InternetLink"/>
            <w:rFonts w:ascii="Times New Roman" w:hAnsi="Times New Roman"/>
            <w:b/>
            <w:i/>
            <w:sz w:val="24"/>
          </w:rPr>
          <w:t>Risk Factors</w:t>
        </w:r>
      </w:hyperlink>
      <w:r>
        <w:rPr>
          <w:rFonts w:ascii="Times New Roman" w:hAnsi="Times New Roman"/>
          <w:b/>
          <w:i/>
          <w:sz w:val="24"/>
        </w:rPr>
        <w:t xml:space="preserve">” contained in the applicable prospectus supplement and any related free writing prospectus, and under similar headings in the other documents that are incorporated by reference into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9"/>
        </w:rPr>
      </w:pPr>
      <w:r>
        <w:rPr>
          <w:rFonts w:ascii="Times New Roman" w:hAnsi="Times New Roman"/>
          <w:b/>
          <w:sz w:val="19"/>
        </w:rPr>
        <w:t xml:space="preserve">The date of this prospectus is September 4,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2">
              <w:r>
                <w:rPr>
                  <w:rStyle w:val="InternetLink"/>
                  <w:rFonts w:ascii="Times New Roman" w:hAnsi="Times New Roman"/>
                  <w:sz w:val="20"/>
                </w:rPr>
                <w:t>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4">
              <w:r>
                <w:rPr>
                  <w:rStyle w:val="InternetLink"/>
                  <w:rFonts w:ascii="Times New Roman" w:hAnsi="Times New Roman"/>
                  <w:sz w:val="20"/>
                </w:rPr>
                <w:t>SPECIAL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6">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7">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8">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9">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0">
              <w:r>
                <w:rPr>
                  <w:rStyle w:val="InternetLink"/>
                  <w:rFonts w:ascii="Times New Roman" w:hAnsi="Times New Roman"/>
                  <w:sz w:val="20"/>
                </w:rPr>
                <w:t>LEGAL OWNERSHIP OF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1">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2">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3">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4">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284" w:type="dxa"/>
            <w:tcBorders/>
            <w:vAlign w:val="center"/>
          </w:tcPr>
          <w:p>
            <w:pPr>
              <w:pStyle w:val="TableContents"/>
              <w:bidi w:val="0"/>
              <w:spacing w:before="0" w:after="283"/>
              <w:jc w:val="left"/>
              <w:rPr>
                <w:sz w:val="4"/>
                <w:szCs w:val="4"/>
              </w:rPr>
            </w:pPr>
            <w:r>
              <w:rPr>
                <w:sz w:val="4"/>
                <w:szCs w:val="4"/>
              </w:rPr>
            </w:r>
          </w:p>
        </w:tc>
        <w:tc>
          <w:tcPr>
            <w:tcW w:w="921" w:type="dxa"/>
            <w:gridSpan w:val="4"/>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0"/>
              <w:jc w:val="left"/>
              <w:rPr/>
            </w:pPr>
            <w:hyperlink w:anchor="tx105320_15">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05320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a part of an automatic shelf registration statement on Form S-3ASR that we filed with the Securities and Exchange Commission (the “SEC”) as a “well-known seasoned issuer,” as defined in Rule 405 under the Securities Act of 1933, as amended (the “Securities Act”), utilizing a “shelf” registration process. Under this shelf registration statement, we may sell any combination of the securities described in this prospectus in one or more offerings. This prospectus provides you with a general description of the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of Certain Information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THIS PROSPECTUS MAY NOT BE USED TO CONSUMMATE A SALE OF SECURITIES UNLESS IT IS ACCOMPANIED BY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We do not imply or represent by delivering this prospectus, any prospectus supplement or any related free writing prospectus that Vor Biopharma Inc., or its business, financial condition or results of operations, are unchanged after the date on the front of the relevant document or that the information in therein is correct as of any later date.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105320_2"/>
      <w:bookmarkEnd w:id="4"/>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especially the risks of investing in our securities discussed under the heading “Risk Factors” contained in the applicable prospectus supplement and any related free writing prospectus, and under similar headings in our filings with the SEC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the context indicates otherwise, as used in this prospectus, the terms the “Company,” “Vor Biopharma,” “Vor Bio,” “Vor,” “we,” “us,” and “our,” except where the context requires otherwise, refer to Vor Biopharma Inc., a Delaware corporation, and its consolidated subsidiary, and “our board of directors” refers to the board of directors of Vor Biopharma Inc.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developing a novel therapy in the treatment of autoimmune diseases. In June 2025, we in-licensed telitacicept from RemeGen Co., Ltd. (“RemeGen”). Pursuant to our license agreement with RemeGen, we were granted an exclusive license to develop and commercialize telitacicept outside of the Greater China region, which includes mainland China, Hong Kong, Macau and Taiwan. RemeGen retains development and commercialization rights in Greater China.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Telitacicept is approved in China for the treatment of generalized myasthenia gravis (“gMG”), systemic lupus erythematosus, rheumatoid arthritis, Sjögren’s disease (“SjD”) and IgA nephropathy. Our global Phase 3 clinical trial in gMG is currently underway across the United States, Europe, South America, and Asia to support potential approval in the United States, Europe, and Japan. We have recently initiated a global Phase 3 clinical trial in SjD, with the first patient dosed in March 2026, and anticipate enrolling at clinical sites across the United States, Europe, South America, and Asia to support potential approval in the United States, Europe, and Japan.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Telitacicept is a novel fusion protein for treating autoimmune diseases. It is constructed with the extracellular domain of the human transmembrane activator and calcium modulator and cyclophilin ligand interactor receptor and the fragment crystallizable domain of human immunoglobulin G. Telitacicept targets and acts on two cell signaling molecules critical for B lymphocyte development: B cell lymphocyte stimulator, also known as B cell activating factor, and a proliferation inducing ligand, which allows it to effectively reduce B cell mediated autoimmune responses that are implicated in several autoimmune diseases.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in December 2015. Our principal executive offices are located at 500 Boylston Street, Suite 1350, Boston, Massachusetts 02116. Our telephone number is (617) 655-6580. Our internet website address is www.vorbio.com. The information contained on our website is not incorporated by reference into this prospectus, and you should not consider any information contained on, or that can be accessed through, our website as part of this prospectus or when deciding whether to purchase our securities. The inclusion of our website address in this prospectus is an inactive textual reference only.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VOR BIOPHARMA, VOR BIO, VOR and our Vor Biopharma logo, and our other trademarks or service marks appearing in this prospectus, are our property. This prospectus and the information incorporated herein by reference contains additional trade names, trademarks and service marks of others, which are the property of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respective owners. Solely for convenience, the trademarks and trade names in this prospectus may be referred to without the ® and TM symbols, but such references should not be construed as any indicator that their respective owners will not assert their rights thereto.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Smaller Reporting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qualify as an “emerging growth company” as defined in the Jumpstart Our Business Startups Act of 2012 (“JOBS Act”). For so long as we remain an emerging growth company, we may take advantage of relief </w:t>
      </w:r>
    </w:p>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certain reporting requirements and other obligations that are otherwise applicable generally to public companies. These provisions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obligations with respect to financial data, including only being required to present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exception from compliance with the auditor attestation requirements of Section 404 of the Sarbanes-Oxley Act of 2002, as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reduced disclosure about our executive compensation arrangements in our periodic reports, proxy statements and registration statements;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exemptions from the requirements of holding non-binding advisory votes on executive compensation or golden parachute arrangements;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exemption from compliance with the requirements of the Public Company Accounting Oversight Board regarding the communication of critical audit matters in the auditor’s report on financial statements.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take advantage of these provisions until we no longer qualify as an emerging growth company. We will cease to qualify as an emerging growth company on the date that is the earliest of: (i) December 31, 2026,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Based on the market value of our common stock held by non-affiliates as of June 30, 2026, we expect to lose our emerging growth company status on December 31, 2026 and, as a result, will be subject to increased disclosure and governance requirements. While we have qualified as an emerging growth company, we have chosen to take advantage of some but not all of these reduced reporting requirements. We have taken advantage of certain reduced reporting requirements in this prospectus. Accordingly, the information contained herein may be different than you might obtain from other public companies in which you hold equity interests.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under the JOBS Act, emerging growth companies can delay adopting new or revised accounting standards until such time as those standards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stock less attractive as a result of these elections, which may result in a less active trading market for our common stock and higher volatility in our share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because the market value of our shares held by non-affiliates was less than $700 million as of June 30, 2025 and our annual revenue was less than $100 million during the most recently completed fiscal year. SEC rules allow a company to continue to be a smaller reporting company if either (i) the market value of its shares held by non-affiliates is less than $250 million or (ii) its annual revenue was less than $100 million during the most recently completed fiscal year and the market value of its shares held by non-affiliates is less than $700 million as of the end of its second fiscal quarter.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Based on the market value of our common stock held by non-affiliates as of June 30, 2026, we will cease to be a smaller reporting company as of December 31, 2026.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Securities We May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 to time, we may offer shares of our common stock and preferred stock, various series of debt securities, warrants, units, or any combination thereof, in one or more offerings under this prospectus, together with any applicable prospectus supplement and any related free writing prospectus. This prospectus contains general summary descriptions of the securities we may offer. The particular terms of any security will be described in the applicable prospectus supplement. Each time we offer a type or series of securities, the applicable prospectus supplement will describe the specific amounts, prices and other important terms of the securities.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105320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Quarterly Report on Form 10-Q for the quarterly period ended June 30, 2026, which is on file with the SEC and is incorporated herein by reference, as updated by any subsequently filed periodic reports, and other documents that are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105320_4"/>
      <w:bookmarkEnd w:id="6"/>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Certain statements contained or incorporated by reference in this prospectus, any accompanying prospectus supplement and any related free writing prospectus constitute “forward-looking statements.” In some cases, you can identify forward-looking statements by the words “may,” “will,” “should,” “would,” “expect,” “plan,” “anticipate,” “could,” “intend,” “target,” “project,” “estimate,” “believe,” “predict,” “potential,” “continue,” or “might” or the negative of these terms or other similar expressions intended to identify statements about the future. From time to time, we publish forward-looking statements relating to matters such as anticipated financial performance, business prospects, technological developments, new products, research and development activities and other aspects of our present and future business operations as well as similar matters.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known and unknown risks, uncertainties and other factors that may cause our or our industry’s actual results, performance or achievements to be materially different from any future results, levels of activity, performance or achievements expressed or implied by such forward-looking statements. We caution you that these statements are based on a combination of facts and factors currently known by us and our expectations of the future, about which we cannot be certain. These forward-looking statements may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clinical trials of our product candidate and any future product candidates, including statements regarding the timing and pace of initiation, enrollment and completion of studies or trials and related preparatory work, the period during which the results of the trials will become available and plans with respect to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any submission of filings for regulatory approval of, and our ability to obtain and maintain regulatory approvals for, our product candidate and any future product candidates for any 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market acceptance and opportunity for and clinical utility of our product candidate and any future product candidates, if approved for commercial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scope of any approved indication for any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our expenses, ongoing losses, future revenue and capital requirements and our need for or 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which we estimate our existing cash, cash equivalents and marketable securities will be sufficient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and availability of clinical trial data, including topline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development of and projections relating to our competition or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of our existing cash, cash equivalents and marketable securities to fund our operations.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such forward-looking statements, you should specifically consider various factors, including the risks outlined under the heading “Risk Factors” contained in this prospectus, any accompanying prospectus supplement and any related free writing prospectus, and in our most recent Annual Report on Form 10-K and any Quarterly Reports on Form 10-Q or Current Reports on Form 8-K we subsequently file with the SEC. The discussion of risks and uncertainties set forth in those filings is not necessarily a complete or exhaustive list of all risks facing us at any particular point in time.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obligation to publicly update any forward-looking statements, whether as a result of new information, future events or otherwise, except as required by law. Forward-looking statements represent our estimates and assumptions only as of the date such forward-looking statements are made.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section titled “Risk Factors” for a discussion of important factors that may cause our actual results to differ materially from those expressed or implied by our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our actual results could differ materially from the results discussed in the forward-looking statements we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this prospectus, any accompanying prospectus supplement and any related free writing prospectus, together with the information incorporated herein or therein by reference, and with the understanding that our actual future results may materially differ from what we expect. We qualify all of our forward-looking statements by these cautionary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105320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intend to invest the net proceeds in interest-bearing, investment-grade securities, certificates of deposit, money market funds or government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105320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our Restated Certificate authorizes us to issue up to 800,000,000 shares of common stock, $0.0001 par value per share, and 10,000,000 shares of preferred stock, $0.0001 par value per share. As of August 6, 2026, 59,162,294 shares of common stock were outstanding and no shares of preferred stock were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description of our capital stock is based on the provisions of our Restated Certificate as well as our Amended and Restated Bylaws (“Bylaws”), and the applicable provisions of the Delaware General Corporation Law (the “DGCL”). This information is qualified entirely by reference to the applicable provisions of our Restated Certificate, Bylaws and the DGCL. For information on how to obtain copies of our Restated Certificate and Bylaws, which are exhibits to the registration statement of which this prospectus is a part, see “Where You Can Find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our common stock is entitled to one vote for each share on all matters submitted to a vote of the stockholders, including the election of directors. The affirmative vote of holders of at least 66 2/3% of the voting power of all of the then-outstanding shares of capital stock, voting as a single class, will be required to amend certain provisions of our Restated Certificate, including provisions relating to amending our Bylaws, the classified board, the size of our board, removal of directors, director liability, vacancies on our board, special meetings, stockholder notices, actions by written consent and exclusive forum.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common stock are entitled to receive ratably those dividends, if any, as may be declared from time to time by our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Preferences and Privileges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Restated Certificate, our board of directors has the authority without further action by our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we are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 share, dividend period and payment dates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dividends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or other securities of ours, including depositary shares, units and warrants, and, if applicable, the conversion period, the conversion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period, the exchange price, or how it will be calculated, and under what circumstances it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preemption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rights, preferences, privileges, qualifications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Vor is incorporated in Delaware. The DGCL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Provisions of Charter Documents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Delaware law, our Restated Certificate and our Bylaws could have the effect of delaying, deferring or discouraging another person from acquiring control of our company. These provisions, which are summarized below, may have the effect of discouraging takeover bids. They are designed, in part, to encourage persons seeking to acquire control of us to negotiate first with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 “business combination”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or any direct or indirect majority-owned subsidiary of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Restated Certificate and Bylaws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Bylaws also provide that directors may be removed by the stockholders only for cause upon the vote of 662/3% or more of our outstanding common stock. Furthermore, the authorized number of directors may be changed only by resolution approved by a majority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Under our Restated Certificate and Bylaws our stockholders do not have cumulative voting rights. Because of this, the holders of a majority of the shares of common stock entitled to vote in any election of directors can elect all of the directors standing for election, if they should so choose.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and Bylaws also provide that all stockholder actions must be effected at a duly called meeting of stockholders and will eliminate the right of stockholders to act by written consent without a meeting. Our Bylaws also provide that only the chair of our board, Chief Executive Officer or the board of directors pursuant to a resolution adopted by a majority of the total number of authorized directors may call a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Bylaws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and Bylaws provide that the stockholders cannot amend many of the provisions described above except by a vote of 662⁄3% or more of our outstanding common stock. </w:t>
      </w:r>
    </w:p>
    <w:p>
      <w:pPr>
        <w:pStyle w:val="TextBody"/>
        <w:bidi w:val="0"/>
        <w:spacing w:before="240" w:after="0"/>
        <w:jc w:val="left"/>
        <w:rPr>
          <w:rFonts w:ascii="Times New Roman" w:hAnsi="Times New Roman"/>
          <w:sz w:val="20"/>
        </w:rPr>
      </w:pPr>
      <w:r>
        <w:rPr>
          <w:rFonts w:ascii="Times New Roman" w:hAnsi="Times New Roman"/>
          <w:sz w:val="20"/>
        </w:rPr>
        <w:t xml:space="preserve">As described in “—Preferred Stock” above, our Restated Certificate gives our board of directors the authority, without further action by our stockholders, to issue up to 10,000,000 shares of preferred stock in one or more series, with any rights, preferences and privileges as they may designate, including the right to approve an acquisition or other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Restated Certificate provides that the Court of Chancery of the state of Delaware will be the exclusive forum for the following types of actions or proceedings under Delaware statutory or common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our behalf;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breach of fiduciary duty;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arising pursuant to the DGCL, our Restated Certificate, or our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 would not apply to suits brought to enforce a duty or liability created by the Exchange Act of 1934, as amended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Restated Certificate also provides that unless we consent in writing to the selection of an alternative forum, the federal district courts of the United States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240" w:after="0"/>
        <w:jc w:val="left"/>
        <w:rPr>
          <w:rFonts w:ascii="Times New Roman" w:hAnsi="Times New Roman"/>
          <w:sz w:val="20"/>
        </w:rPr>
      </w:pPr>
      <w:r>
        <w:rPr>
          <w:rFonts w:ascii="Times New Roman" w:hAnsi="Times New Roman"/>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Restated Certificate to be inapplicable or unenforceable in an action, we may incur further significant additional costs associated with resolving the dispute in other jurisdictions, all of which could seriously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Our Restated Certificate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agent’s address is 150 Royall Street, Canton, Massachusetts 02021. The transfer agent for any series of preferred stock that we may offer under this prospectus will be named and described in the prospectus supplement for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“VOR”.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105320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an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“Description of Debt Securities—Consolidation,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105320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 and in any related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rPr>
      </w:pPr>
      <w:r>
        <w:rPr>
          <w:rFonts w:ascii="Times New Roman" w:hAnsi="Times New Roman"/>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or prices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agreements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force the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agreements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exercising their warrants, holders of warrants will not have any of the rights of holders of the securities purchasable upon such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right to receive payments of principal of, or premium, if any,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right to receive dividends, if any, or, payments upon our liquidation, dissolution or winding up or to exercise voting rights, if 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Exercise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Warrants </w:t>
      </w:r>
    </w:p>
    <w:p>
      <w:pPr>
        <w:pStyle w:val="TextBody"/>
        <w:bidi w:val="0"/>
        <w:spacing w:before="120" w:after="0"/>
        <w:jc w:val="left"/>
        <w:rPr>
          <w:rFonts w:ascii="Times New Roman" w:hAnsi="Times New Roman"/>
          <w:sz w:val="20"/>
        </w:rPr>
      </w:pPr>
      <w:r>
        <w:rPr>
          <w:rFonts w:ascii="Times New Roman" w:hAnsi="Times New Roman"/>
          <w:sz w:val="20"/>
        </w:rPr>
        <w:t xml:space="preserve">Each warrant agent will act solely as our agent under the applicable warrant agreement and will not assume any obligation or relationship of agency or trust with any holder of any warrant. A single bank or trust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105320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common stock, preferred stock, debt securities and/or warrants in any combination in one or more series. We may evidence each series of units by unit certificates that we will issue under a separate agreement. We may enter into unit agreements with a unit agent. Each unit agent is expected to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105320_10"/>
      <w:bookmarkEnd w:id="12"/>
      <w:r>
        <w:rPr>
          <w:rFonts w:ascii="Times New Roman" w:hAnsi="Times New Roman"/>
          <w:b/>
          <w:sz w:val="20"/>
        </w:rPr>
        <w:t xml:space="preserve">LEGAL OWNERSHIP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securities registered in your own name so you can be a holder, if that is permitted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securities if there were a default or other event triggering the need for holders to act to protect their interests;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in book-entry form, how the depositary’s rules and procedures will affect these matters.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issued only as global securities, an investor should be aware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securities to be registered in his or her name, and cannot obtain non-global certificates for his or her interest in the securities, except in the special situations we describe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will be an indirect holder and must look to his or her own bank or broker for payments on the securities and protection of his or her legal rights relating to the securities, as we describe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securities to some insurance companies and to other institutions that are required by law to own their securities in non-book-entry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the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any applicable trustee have no responsibility for any aspect of the depositary’s actions or for its records of ownership interests in the global security, nor will we or any applicable trustee supervise the depositary in any way;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may be more than one financial intermediary in the chain of ownership for an investor. We do not monitor and are not responsible for the actions of any of those intermediaries.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Situations When A Global Security Will Be Terminated </w:t>
      </w:r>
    </w:p>
    <w:p>
      <w:pPr>
        <w:pStyle w:val="TextBody"/>
        <w:bidi w:val="0"/>
        <w:spacing w:before="120" w:after="0"/>
        <w:jc w:val="left"/>
        <w:rPr>
          <w:rFonts w:ascii="Times New Roman" w:hAnsi="Times New Roman"/>
          <w:sz w:val="20"/>
        </w:rPr>
      </w:pPr>
      <w:r>
        <w:rPr>
          <w:rFonts w:ascii="Times New Roman" w:hAnsi="Times New Roman"/>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before="240" w:after="0"/>
        <w:jc w:val="left"/>
        <w:rPr>
          <w:rFonts w:ascii="Times New Roman" w:hAnsi="Times New Roman"/>
          <w:sz w:val="20"/>
        </w:rPr>
      </w:pPr>
      <w:r>
        <w:rPr>
          <w:rFonts w:ascii="Times New Roman" w:hAnsi="Times New Roman"/>
          <w:sz w:val="20"/>
        </w:rPr>
        <w:t xml:space="preserve">Unless we provide otherwise in the applicable prospectus supplement, a global security will terminate when the following special situations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depositary notifies us that it is unwilling, unable or no longer qualified to continue as depositary for that global security and we do not appoint another institution to act as depositary within 90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notify any applicable trustee that we wish to terminate that global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has occurred with regard to securities represented by that global security and has not been cured or waived.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105320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w:t>
      </w:r>
    </w:p>
    <w:p>
      <w:pPr>
        <w:pStyle w:val="TextBody"/>
        <w:bidi w:val="0"/>
        <w:spacing w:before="240" w:after="0"/>
        <w:jc w:val="left"/>
        <w:rPr>
          <w:rFonts w:ascii="Times New Roman" w:hAnsi="Times New Roman"/>
          <w:sz w:val="20"/>
        </w:rPr>
      </w:pPr>
      <w:r>
        <w:rPr>
          <w:rFonts w:ascii="Times New Roman" w:hAnsi="Times New Roman"/>
          <w:sz w:val="20"/>
        </w:rPr>
        <w:t xml:space="preserve">Such at the market offerings, if any, may be conducted by underwriters acting as principal or agent.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and the proceeds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options to purchase additional securities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are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or agents who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105320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certain legal matters in connection with the offering and the validity of the securities offered by this prospectus, and any supplement thereto, will be passed upon by Ropes &amp; Gray LLP, Boston, Massachusetts. Additional legal matters may be passed upon for us 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5" w:name="tx105320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6" w:name="tx105320_14"/>
      <w:bookmarkEnd w:id="16"/>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in this prospectus.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Vor. The address of the SEC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We maintain a website at www.vorbio.com. The information contained on our website is not incorporated by reference into this prospectus, and you should not consider any information contained on, or that can be accessed through, our website as part of this prospectus or when deciding whether to purchase our securities.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105320_15"/>
      <w:bookmarkEnd w:id="17"/>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001-39979):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4">
              <w:r>
                <w:rPr>
                  <w:rStyle w:val="InternetLink"/>
                  <w:rFonts w:ascii="Times New Roman" w:hAnsi="Times New Roman"/>
                  <w:sz w:val="20"/>
                </w:rPr>
                <w:t>May  13, 2026</w:t>
              </w:r>
            </w:hyperlink>
            <w:r>
              <w:rPr>
                <w:rFonts w:ascii="Times New Roman" w:hAnsi="Times New Roman"/>
                <w:sz w:val="20"/>
              </w:rPr>
              <w:t xml:space="preserve"> and </w:t>
            </w:r>
            <w:hyperlink r:id="rId5">
              <w:r>
                <w:rPr>
                  <w:rStyle w:val="InternetLink"/>
                  <w:rFonts w:ascii="Times New Roman" w:hAnsi="Times New Roman"/>
                  <w:sz w:val="20"/>
                </w:rPr>
                <w:t>August 11,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2, 2026</w:t>
              </w:r>
            </w:hyperlink>
            <w:r>
              <w:rPr>
                <w:rFonts w:ascii="Times New Roman" w:hAnsi="Times New Roman"/>
                <w:sz w:val="20"/>
              </w:rPr>
              <w:t xml:space="preserve">, </w:t>
            </w:r>
            <w:hyperlink r:id="rId7">
              <w:r>
                <w:rPr>
                  <w:rStyle w:val="InternetLink"/>
                  <w:rFonts w:ascii="Times New Roman" w:hAnsi="Times New Roman"/>
                  <w:sz w:val="20"/>
                </w:rPr>
                <w:t>March  27, 2026</w:t>
              </w:r>
            </w:hyperlink>
            <w:r>
              <w:rPr>
                <w:rFonts w:ascii="Times New Roman" w:hAnsi="Times New Roman"/>
                <w:sz w:val="20"/>
              </w:rPr>
              <w:t xml:space="preserve">, </w:t>
            </w:r>
            <w:hyperlink r:id="rId8">
              <w:r>
                <w:rPr>
                  <w:rStyle w:val="InternetLink"/>
                  <w:rFonts w:ascii="Times New Roman" w:hAnsi="Times New Roman"/>
                  <w:sz w:val="20"/>
                </w:rPr>
                <w:t>June 12, 2026</w:t>
              </w:r>
            </w:hyperlink>
            <w:r>
              <w:rPr>
                <w:rFonts w:ascii="Times New Roman" w:hAnsi="Times New Roman"/>
                <w:sz w:val="20"/>
              </w:rPr>
              <w:t xml:space="preserve"> and July 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as described in our Registration Statement on </w:t>
            </w:r>
            <w:hyperlink r:id="rId9">
              <w:r>
                <w:rPr>
                  <w:rStyle w:val="InternetLink"/>
                  <w:rFonts w:ascii="Times New Roman" w:hAnsi="Times New Roman"/>
                  <w:sz w:val="20"/>
                </w:rPr>
                <w:t>Form 8-A</w:t>
              </w:r>
            </w:hyperlink>
            <w:r>
              <w:rPr>
                <w:rFonts w:ascii="Times New Roman" w:hAnsi="Times New Roman"/>
                <w:sz w:val="20"/>
              </w:rPr>
              <w:t xml:space="preserve"> filed on February  1, 2021, including any amendments or reports filed for the purpose of updating such description, including Exhibit 4.3 to our Annual Report on </w:t>
            </w:r>
            <w:hyperlink r:id="rId10">
              <w:r>
                <w:rPr>
                  <w:rStyle w:val="InternetLink"/>
                  <w:rFonts w:ascii="Times New Roman" w:hAnsi="Times New Roman"/>
                  <w:sz w:val="20"/>
                </w:rPr>
                <w:t>Form 10-K</w:t>
              </w:r>
            </w:hyperlink>
            <w:r>
              <w:rPr>
                <w:rFonts w:ascii="Times New Roman" w:hAnsi="Times New Roman"/>
                <w:sz w:val="20"/>
              </w:rPr>
              <w:t xml:space="preserve"> filed with the SEC on March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Vor Biopharma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500 Boylston Street, Suite 1350 </w:t>
      </w:r>
    </w:p>
    <w:p>
      <w:pPr>
        <w:pStyle w:val="TextBody"/>
        <w:bidi w:val="0"/>
        <w:spacing w:before="0" w:after="0"/>
        <w:jc w:val="center"/>
        <w:rPr>
          <w:rFonts w:ascii="Times New Roman" w:hAnsi="Times New Roman"/>
          <w:sz w:val="20"/>
        </w:rPr>
      </w:pPr>
      <w:r>
        <w:rPr>
          <w:rFonts w:ascii="Times New Roman" w:hAnsi="Times New Roman"/>
          <w:sz w:val="20"/>
        </w:rPr>
        <w:t xml:space="preserve">Boston, Massachusetts 02116 </w:t>
      </w:r>
    </w:p>
    <w:p>
      <w:pPr>
        <w:pStyle w:val="TextBody"/>
        <w:bidi w:val="0"/>
        <w:spacing w:before="0" w:after="0"/>
        <w:jc w:val="center"/>
        <w:rPr>
          <w:rFonts w:ascii="Times New Roman" w:hAnsi="Times New Roman"/>
          <w:sz w:val="20"/>
        </w:rPr>
      </w:pPr>
      <w:r>
        <w:rPr>
          <w:rFonts w:ascii="Times New Roman" w:hAnsi="Times New Roman"/>
          <w:sz w:val="20"/>
        </w:rPr>
        <w:t xml:space="preserve">(617) 655-6580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376295" cy="12077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3376295" cy="12077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September 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estimated costs and expenses, other than underwriting discounts and commissions, payable by the registrant in connection with the offering of the securities being registered. All the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49"/>
        <w:gridCol w:w="535"/>
        <w:gridCol w:w="140"/>
        <w:gridCol w:w="886"/>
        <w:gridCol w:w="329"/>
      </w:tblGrid>
      <w:tr>
        <w:trPr/>
        <w:tc>
          <w:tcPr>
            <w:tcW w:w="5049"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504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5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5049" w:type="dxa"/>
            <w:tcBorders/>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5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5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5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Printing and miscellaneous expenses</w:t>
            </w:r>
          </w:p>
        </w:tc>
        <w:tc>
          <w:tcPr>
            <w:tcW w:w="53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329" w:type="dxa"/>
            <w:tcBorders/>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6" w:type="dxa"/>
            <w:tcBorders/>
            <w:vAlign w:val="bottom"/>
          </w:tcPr>
          <w:p>
            <w:pPr>
              <w:pStyle w:val="TableContents"/>
              <w:pBdr>
                <w:top w:val="single" w:sz="2"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r>
        <w:trPr/>
        <w:tc>
          <w:tcPr>
            <w:tcW w:w="50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3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6" w:type="dxa"/>
            <w:tcBorders/>
            <w:shd w:fill="CCEEFF" w:val="clear"/>
            <w:vAlign w:val="bottom"/>
          </w:tcPr>
          <w:p>
            <w:pPr>
              <w:pStyle w:val="TableContents"/>
              <w:bidi w:val="0"/>
              <w:spacing w:before="0" w:after="283"/>
              <w:jc w:val="right"/>
              <w:rPr/>
            </w:pPr>
            <w:r>
              <w:rPr/>
              <w:t>    </w:t>
            </w:r>
          </w:p>
        </w:tc>
        <w:tc>
          <w:tcPr>
            <w:tcW w:w="329" w:type="dxa"/>
            <w:tcBorders/>
            <w:shd w:fill="CCEEFF" w:val="clear"/>
            <w:vAlign w:val="bottom"/>
          </w:tcPr>
          <w:p>
            <w:pPr>
              <w:pStyle w:val="TableContents"/>
              <w:bidi w:val="0"/>
              <w:spacing w:before="0" w:after="283"/>
              <w:jc w:val="left"/>
              <w:rPr/>
            </w:pPr>
            <w:r>
              <w:rPr/>
              <w:t>** </w:t>
            </w:r>
          </w:p>
        </w:tc>
      </w:tr>
      <w:tr>
        <w:trPr/>
        <w:tc>
          <w:tcPr>
            <w:tcW w:w="5049" w:type="dxa"/>
            <w:tcBorders/>
            <w:vAlign w:val="bottom"/>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6" w:type="dxa"/>
            <w:tcBorders/>
            <w:vAlign w:val="bottom"/>
          </w:tcPr>
          <w:p>
            <w:pPr>
              <w:pStyle w:val="TableContents"/>
              <w:pBdr>
                <w:top w:val="double" w:sz="6" w:space="1" w:color="000000"/>
              </w:pBdr>
              <w:bidi w:val="0"/>
              <w:spacing w:before="0" w:after="0"/>
              <w:jc w:val="left"/>
              <w:rPr/>
            </w:pPr>
            <w:r>
              <w:rPr/>
              <w:t> </w:t>
            </w:r>
          </w:p>
        </w:tc>
        <w:tc>
          <w:tcPr>
            <w:tcW w:w="32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registering an indeterminate amount of securities under this Registration Statement and in reliance upon Rules 456(b) and 457(r) under the Securities Act, the registrant is deferring payment of all of the registration fee.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the amount of securities offered and accordingly cannot be estimated at this time. The applicable prospectus supplement will set forth the estimated aggregate amount of expenses payable in respect of any offering of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under the laws of the State of Delaware. Section 102 of the DGCL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DGCL, our Amended and Restated Certificate of Incorporation and Amended and Restated Bylaws provide that: (i) we are required to indemnify our directors to the fullest extent permitted by the DGCL; (ii) we may, in our discretion, indemnify our officers and employees when determined appropriate by our board of directors; (iii) we are required, upon satisfaction of certain conditions, to advance expenses incurred by our directors in advance of the final disposition of any action or proceeding; (iv) we are permitted to secure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insurance on behalf of any officer, director, employee or other agent for any liability arising out of his or her actions in that capacity regardless of whether we would otherwise be permitted to indemnify him or her under the provisions of Delaware law; and (v) we are authorized to enter into indemnification agreements with our directors, officers, employees and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agreements with our directors and executive officers that require us to indemnify them against expenses including, among other things, attorneys’ fees, judgments, fines and settlement amounts incurred by any of these individuals in any action or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that we may enter into in connection with an offering pursuant to this Registration Statement will provide for indemnification by any underwriters of the company, our directors, our officers who sign the registration statement and our controlling persons, if any, for some liabilities, including liabilities arising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2"/>
        <w:gridCol w:w="266"/>
        <w:gridCol w:w="4348"/>
        <w:gridCol w:w="201"/>
        <w:gridCol w:w="122"/>
        <w:gridCol w:w="476"/>
        <w:gridCol w:w="60"/>
        <w:gridCol w:w="201"/>
        <w:gridCol w:w="60"/>
        <w:gridCol w:w="1010"/>
        <w:gridCol w:w="60"/>
        <w:gridCol w:w="201"/>
        <w:gridCol w:w="121"/>
        <w:gridCol w:w="650"/>
        <w:gridCol w:w="59"/>
        <w:gridCol w:w="201"/>
        <w:gridCol w:w="60"/>
        <w:gridCol w:w="1418"/>
        <w:gridCol w:w="69"/>
      </w:tblGrid>
      <w:tr>
        <w:trPr/>
        <w:tc>
          <w:tcPr>
            <w:tcW w:w="622" w:type="dxa"/>
            <w:tcBorders/>
            <w:vAlign w:val="center"/>
          </w:tcPr>
          <w:p>
            <w:pPr>
              <w:pStyle w:val="TableContents"/>
              <w:bidi w:val="0"/>
              <w:spacing w:before="0" w:after="283"/>
              <w:jc w:val="left"/>
              <w:rPr>
                <w:sz w:val="4"/>
                <w:szCs w:val="4"/>
              </w:rPr>
            </w:pPr>
            <w:r>
              <w:rPr>
                <w:sz w:val="4"/>
                <w:szCs w:val="4"/>
              </w:rPr>
            </w:r>
          </w:p>
        </w:tc>
        <w:tc>
          <w:tcPr>
            <w:tcW w:w="266" w:type="dxa"/>
            <w:tcBorders/>
            <w:vAlign w:val="bottom"/>
          </w:tcPr>
          <w:p>
            <w:pPr>
              <w:pStyle w:val="TableContents"/>
              <w:bidi w:val="0"/>
              <w:spacing w:before="0" w:after="283"/>
              <w:jc w:val="left"/>
              <w:rPr>
                <w:sz w:val="4"/>
                <w:szCs w:val="4"/>
              </w:rPr>
            </w:pPr>
            <w:r>
              <w:rPr>
                <w:sz w:val="4"/>
                <w:szCs w:val="4"/>
              </w:rPr>
            </w:r>
          </w:p>
        </w:tc>
        <w:tc>
          <w:tcPr>
            <w:tcW w:w="4348"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622"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4348"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469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9" w:type="dxa"/>
            <w:tcBorders/>
            <w:vAlign w:val="bottom"/>
          </w:tcPr>
          <w:p>
            <w:pPr>
              <w:pStyle w:val="TableContents"/>
              <w:bidi w:val="0"/>
              <w:spacing w:before="0" w:after="283"/>
              <w:jc w:val="left"/>
              <w:rPr/>
            </w:pPr>
            <w:r>
              <w:rPr/>
              <w:t> </w:t>
            </w:r>
          </w:p>
        </w:tc>
      </w:tr>
      <w:tr>
        <w:trPr/>
        <w:tc>
          <w:tcPr>
            <w:tcW w:w="622"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266" w:type="dxa"/>
            <w:tcBorders/>
            <w:vAlign w:val="bottom"/>
          </w:tcPr>
          <w:p>
            <w:pPr>
              <w:pStyle w:val="TableContents"/>
              <w:bidi w:val="0"/>
              <w:spacing w:before="0" w:after="283"/>
              <w:jc w:val="left"/>
              <w:rPr/>
            </w:pPr>
            <w:r>
              <w:rPr/>
              <w:t>  </w:t>
            </w:r>
          </w:p>
        </w:tc>
        <w:tc>
          <w:tcPr>
            <w:tcW w:w="434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201" w:type="dxa"/>
            <w:tcBorders/>
            <w:vAlign w:val="bottom"/>
          </w:tcPr>
          <w:p>
            <w:pPr>
              <w:pStyle w:val="TableContents"/>
              <w:bidi w:val="0"/>
              <w:spacing w:before="0" w:after="283"/>
              <w:jc w:val="left"/>
              <w:rPr/>
            </w:pPr>
            <w:r>
              <w:rPr/>
              <w:t>  </w:t>
            </w:r>
          </w:p>
        </w:tc>
        <w:tc>
          <w:tcPr>
            <w:tcW w:w="5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br/>
              <w:t>Form</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9" w:type="dxa"/>
            <w:tcBorders/>
            <w:vAlign w:val="bottom"/>
          </w:tcPr>
          <w:p>
            <w:pPr>
              <w:pStyle w:val="TableContents"/>
              <w:bidi w:val="0"/>
              <w:spacing w:before="0" w:after="283"/>
              <w:jc w:val="left"/>
              <w:rPr/>
            </w:pPr>
            <w:r>
              <w:rP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1.1+</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Underwriting Agreement</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4.1</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hyperlink r:id="rId12">
              <w:r>
                <w:rPr>
                  <w:rStyle w:val="InternetLink"/>
                </w:rPr>
                <w:t xml:space="preserve">Form of Common Stock Certificate of the Registrant </w:t>
              </w:r>
            </w:hyperlink>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S-3</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333-290490</w:t>
            </w:r>
          </w:p>
        </w:tc>
        <w:tc>
          <w:tcPr>
            <w:tcW w:w="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4.5</w:t>
            </w:r>
          </w:p>
        </w:tc>
        <w:tc>
          <w:tcPr>
            <w:tcW w:w="5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8" w:type="dxa"/>
            <w:tcBorders/>
            <w:vAlign w:val="bottom"/>
          </w:tcPr>
          <w:p>
            <w:pPr>
              <w:pStyle w:val="TableContents"/>
              <w:bidi w:val="0"/>
              <w:spacing w:before="0" w:after="283"/>
              <w:jc w:val="right"/>
              <w:rPr/>
            </w:pPr>
            <w:r>
              <w:rPr/>
              <w:t>September 24,</w:t>
              <w:br/>
              <w:t>2025</w:t>
            </w:r>
          </w:p>
        </w:tc>
        <w:tc>
          <w:tcPr>
            <w:tcW w:w="69" w:type="dxa"/>
            <w:tcBorders/>
            <w:vAlign w:val="bottom"/>
          </w:tcPr>
          <w:p>
            <w:pPr>
              <w:pStyle w:val="TableContents"/>
              <w:bidi w:val="0"/>
              <w:spacing w:before="0" w:after="283"/>
              <w:jc w:val="left"/>
              <w:rPr/>
            </w:pPr>
            <w:r>
              <w:rPr/>
              <w:t> </w:t>
            </w:r>
            <w:r>
              <w:rPr/>
              <w:br/>
              <w:t> </w:t>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4.2*</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hyperlink w:anchor="d105320dex42.htm">
              <w:r>
                <w:rPr>
                  <w:rStyle w:val="InternetLink"/>
                </w:rPr>
                <w:t xml:space="preserve">Form of Debt Indenture between the Registrant and one or more trustees to be named </w:t>
              </w:r>
            </w:hyperlink>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4.3+</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Note</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4.4+</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Common Stock Warrant Agreement and Warrant Certificate</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4.5+</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Preferred Stock Warrant Agreement and Warrant Certificate</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4.6+</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Debt Securities Warrant Agreement and Warrant Certificate</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4.7+</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Specimen Preferred Stock Certificate and Certificate of Designations of Preferred Stock</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4.8+</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r>
              <w:rPr/>
              <w:t>Form of Unit Agreement</w:t>
            </w:r>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 </w:t>
            </w:r>
            <w:r>
              <w:rPr/>
              <w:t>5.1*</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hyperlink w:anchor="d105320dex51.htm">
              <w:r>
                <w:rPr>
                  <w:rStyle w:val="InternetLink"/>
                </w:rPr>
                <w:t xml:space="preserve">Opinion of Ropes &amp; Gray LLP </w:t>
              </w:r>
            </w:hyperlink>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22" w:type="dxa"/>
            <w:tcBorders/>
            <w:vAlign w:val="center"/>
          </w:tcPr>
          <w:p>
            <w:pPr>
              <w:pStyle w:val="TableContents"/>
              <w:bidi w:val="0"/>
              <w:spacing w:before="0" w:after="283"/>
              <w:jc w:val="left"/>
              <w:rPr>
                <w:sz w:val="4"/>
                <w:szCs w:val="4"/>
              </w:rPr>
            </w:pPr>
            <w:r>
              <w:rPr>
                <w:sz w:val="4"/>
                <w:szCs w:val="4"/>
              </w:rPr>
            </w:r>
          </w:p>
        </w:tc>
        <w:tc>
          <w:tcPr>
            <w:tcW w:w="4614" w:type="dxa"/>
            <w:gridSpan w:val="2"/>
            <w:tcBorders/>
            <w:vAlign w:val="center"/>
          </w:tcPr>
          <w:p>
            <w:pPr>
              <w:pStyle w:val="TableContents"/>
              <w:bidi w:val="0"/>
              <w:spacing w:before="0" w:after="283"/>
              <w:jc w:val="left"/>
              <w:rPr>
                <w:sz w:val="4"/>
                <w:szCs w:val="4"/>
              </w:rPr>
            </w:pPr>
            <w:r>
              <w:rPr>
                <w:sz w:val="4"/>
                <w:szCs w:val="4"/>
              </w:rPr>
            </w:r>
          </w:p>
        </w:tc>
        <w:tc>
          <w:tcPr>
            <w:tcW w:w="859" w:type="dxa"/>
            <w:gridSpan w:val="4"/>
            <w:tcBorders/>
            <w:vAlign w:val="center"/>
          </w:tcPr>
          <w:p>
            <w:pPr>
              <w:pStyle w:val="TableContents"/>
              <w:bidi w:val="0"/>
              <w:spacing w:before="0" w:after="283"/>
              <w:jc w:val="left"/>
              <w:rPr>
                <w:sz w:val="4"/>
                <w:szCs w:val="4"/>
              </w:rPr>
            </w:pPr>
            <w:r>
              <w:rPr>
                <w:sz w:val="4"/>
                <w:szCs w:val="4"/>
              </w:rPr>
            </w:r>
          </w:p>
        </w:tc>
        <w:tc>
          <w:tcPr>
            <w:tcW w:w="1331" w:type="dxa"/>
            <w:gridSpan w:val="4"/>
            <w:tcBorders/>
            <w:vAlign w:val="center"/>
          </w:tcPr>
          <w:p>
            <w:pPr>
              <w:pStyle w:val="TableContents"/>
              <w:bidi w:val="0"/>
              <w:spacing w:before="0" w:after="283"/>
              <w:jc w:val="left"/>
              <w:rPr>
                <w:sz w:val="4"/>
                <w:szCs w:val="4"/>
              </w:rPr>
            </w:pPr>
            <w:r>
              <w:rPr>
                <w:sz w:val="4"/>
                <w:szCs w:val="4"/>
              </w:rPr>
            </w:r>
          </w:p>
        </w:tc>
        <w:tc>
          <w:tcPr>
            <w:tcW w:w="1031" w:type="dxa"/>
            <w:gridSpan w:val="4"/>
            <w:tcBorders/>
            <w:vAlign w:val="center"/>
          </w:tcPr>
          <w:p>
            <w:pPr>
              <w:pStyle w:val="TableContents"/>
              <w:bidi w:val="0"/>
              <w:spacing w:before="0" w:after="283"/>
              <w:jc w:val="left"/>
              <w:rPr>
                <w:sz w:val="4"/>
                <w:szCs w:val="4"/>
              </w:rPr>
            </w:pPr>
            <w:r>
              <w:rPr>
                <w:sz w:val="4"/>
                <w:szCs w:val="4"/>
              </w:rPr>
            </w:r>
          </w:p>
        </w:tc>
        <w:tc>
          <w:tcPr>
            <w:tcW w:w="1748" w:type="dxa"/>
            <w:gridSpan w:val="4"/>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23.1*</w:t>
            </w:r>
          </w:p>
        </w:tc>
        <w:tc>
          <w:tcPr>
            <w:tcW w:w="266" w:type="dxa"/>
            <w:tcBorders/>
            <w:vAlign w:val="bottom"/>
          </w:tcPr>
          <w:p>
            <w:pPr>
              <w:pStyle w:val="TableContents"/>
              <w:bidi w:val="0"/>
              <w:spacing w:before="0" w:after="283"/>
              <w:jc w:val="left"/>
              <w:rPr/>
            </w:pPr>
            <w:r>
              <w:rPr/>
              <w:t>  </w:t>
            </w:r>
          </w:p>
        </w:tc>
        <w:tc>
          <w:tcPr>
            <w:tcW w:w="4348" w:type="dxa"/>
            <w:tcBorders/>
          </w:tcPr>
          <w:p>
            <w:pPr>
              <w:pStyle w:val="TableContents"/>
              <w:bidi w:val="0"/>
              <w:spacing w:before="0" w:after="283"/>
              <w:jc w:val="left"/>
              <w:rPr/>
            </w:pPr>
            <w:hyperlink w:anchor="d105320dex51.htm">
              <w:r>
                <w:rPr>
                  <w:rStyle w:val="InternetLink"/>
                </w:rPr>
                <w:t xml:space="preserve">Consent of Ropes &amp; Gray LLP (included in Exhibit 5.1) </w:t>
              </w:r>
            </w:hyperlink>
          </w:p>
        </w:tc>
        <w:tc>
          <w:tcPr>
            <w:tcW w:w="201"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sz w:val="4"/>
                <w:szCs w:val="4"/>
              </w:rPr>
            </w:pPr>
            <w:r>
              <w:rPr>
                <w:sz w:val="4"/>
                <w:szCs w:val="4"/>
              </w:rPr>
            </w:r>
          </w:p>
        </w:tc>
        <w:tc>
          <w:tcPr>
            <w:tcW w:w="650"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1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0"/>
        <w:gridCol w:w="425"/>
        <w:gridCol w:w="3831"/>
        <w:gridCol w:w="365"/>
        <w:gridCol w:w="295"/>
        <w:gridCol w:w="295"/>
        <w:gridCol w:w="113"/>
        <w:gridCol w:w="364"/>
        <w:gridCol w:w="438"/>
        <w:gridCol w:w="438"/>
        <w:gridCol w:w="113"/>
        <w:gridCol w:w="364"/>
        <w:gridCol w:w="385"/>
        <w:gridCol w:w="385"/>
        <w:gridCol w:w="113"/>
        <w:gridCol w:w="365"/>
        <w:gridCol w:w="535"/>
        <w:gridCol w:w="610"/>
        <w:gridCol w:w="61"/>
      </w:tblGrid>
      <w:tr>
        <w:trPr/>
        <w:tc>
          <w:tcPr>
            <w:tcW w:w="71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3831"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71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3831"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481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Incorporated by Reference</w:t>
            </w:r>
          </w:p>
        </w:tc>
        <w:tc>
          <w:tcPr>
            <w:tcW w:w="61" w:type="dxa"/>
            <w:tcBorders/>
            <w:vAlign w:val="bottom"/>
          </w:tcPr>
          <w:p>
            <w:pPr>
              <w:pStyle w:val="TableContents"/>
              <w:bidi w:val="0"/>
              <w:spacing w:before="0" w:after="283"/>
              <w:jc w:val="left"/>
              <w:rPr/>
            </w:pPr>
            <w:r>
              <w:rPr/>
              <w:t> </w:t>
            </w:r>
          </w:p>
        </w:tc>
      </w:tr>
      <w:tr>
        <w:trPr/>
        <w:tc>
          <w:tcPr>
            <w:tcW w:w="710"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425" w:type="dxa"/>
            <w:tcBorders/>
            <w:vAlign w:val="bottom"/>
          </w:tcPr>
          <w:p>
            <w:pPr>
              <w:pStyle w:val="TableContents"/>
              <w:bidi w:val="0"/>
              <w:spacing w:before="0" w:after="283"/>
              <w:jc w:val="left"/>
              <w:rPr/>
            </w:pPr>
            <w:r>
              <w:rPr/>
              <w:t>  </w:t>
            </w:r>
          </w:p>
        </w:tc>
        <w:tc>
          <w:tcPr>
            <w:tcW w:w="383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c>
          <w:tcPr>
            <w:tcW w:w="365" w:type="dxa"/>
            <w:tcBorders/>
            <w:vAlign w:val="bottom"/>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br/>
              <w:t>Form</w:t>
            </w:r>
          </w:p>
        </w:tc>
        <w:tc>
          <w:tcPr>
            <w:tcW w:w="113"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File</w:t>
              <w:br/>
              <w:t>Number</w:t>
            </w:r>
          </w:p>
        </w:tc>
        <w:tc>
          <w:tcPr>
            <w:tcW w:w="113"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113"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Filing Date</w:t>
            </w:r>
          </w:p>
        </w:tc>
        <w:tc>
          <w:tcPr>
            <w:tcW w:w="61" w:type="dxa"/>
            <w:tcBorders/>
            <w:vAlign w:val="bottom"/>
          </w:tcPr>
          <w:p>
            <w:pPr>
              <w:pStyle w:val="TableContents"/>
              <w:bidi w:val="0"/>
              <w:spacing w:before="0" w:after="283"/>
              <w:jc w:val="left"/>
              <w:rPr/>
            </w:pPr>
            <w:r>
              <w:rPr/>
              <w:t> </w:t>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4256" w:type="dxa"/>
            <w:gridSpan w:val="2"/>
            <w:tcBorders/>
            <w:vAlign w:val="center"/>
          </w:tcPr>
          <w:p>
            <w:pPr>
              <w:pStyle w:val="TableContents"/>
              <w:bidi w:val="0"/>
              <w:spacing w:before="0" w:after="283"/>
              <w:jc w:val="left"/>
              <w:rPr>
                <w:sz w:val="4"/>
                <w:szCs w:val="4"/>
              </w:rPr>
            </w:pPr>
            <w:r>
              <w:rPr>
                <w:sz w:val="4"/>
                <w:szCs w:val="4"/>
              </w:rPr>
            </w:r>
          </w:p>
        </w:tc>
        <w:tc>
          <w:tcPr>
            <w:tcW w:w="1068"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c>
          <w:tcPr>
            <w:tcW w:w="1247" w:type="dxa"/>
            <w:gridSpan w:val="4"/>
            <w:tcBorders/>
            <w:vAlign w:val="center"/>
          </w:tcPr>
          <w:p>
            <w:pPr>
              <w:pStyle w:val="TableContents"/>
              <w:bidi w:val="0"/>
              <w:spacing w:before="0" w:after="283"/>
              <w:jc w:val="left"/>
              <w:rPr>
                <w:sz w:val="4"/>
                <w:szCs w:val="4"/>
              </w:rPr>
            </w:pPr>
            <w:r>
              <w:rPr>
                <w:sz w:val="4"/>
                <w:szCs w:val="4"/>
              </w:rPr>
            </w:r>
          </w:p>
        </w:tc>
        <w:tc>
          <w:tcPr>
            <w:tcW w:w="1571"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23.2*</w:t>
            </w:r>
          </w:p>
        </w:tc>
        <w:tc>
          <w:tcPr>
            <w:tcW w:w="425" w:type="dxa"/>
            <w:tcBorders/>
            <w:vAlign w:val="bottom"/>
          </w:tcPr>
          <w:p>
            <w:pPr>
              <w:pStyle w:val="TableContents"/>
              <w:bidi w:val="0"/>
              <w:spacing w:before="0" w:after="283"/>
              <w:jc w:val="left"/>
              <w:rPr/>
            </w:pPr>
            <w:r>
              <w:rPr/>
              <w:t>  </w:t>
            </w:r>
          </w:p>
        </w:tc>
        <w:tc>
          <w:tcPr>
            <w:tcW w:w="3831" w:type="dxa"/>
            <w:tcBorders/>
          </w:tcPr>
          <w:p>
            <w:pPr>
              <w:pStyle w:val="TableContents"/>
              <w:bidi w:val="0"/>
              <w:spacing w:before="0" w:after="283"/>
              <w:jc w:val="left"/>
              <w:rPr/>
            </w:pPr>
            <w:hyperlink w:anchor="d105320dex232.htm">
              <w:r>
                <w:rPr>
                  <w:rStyle w:val="InternetLink"/>
                </w:rPr>
                <w:t xml:space="preserve">Consent of Ernst &amp; Young LLP, independent registered public accounting firm </w:t>
              </w:r>
            </w:hyperlink>
          </w:p>
        </w:tc>
        <w:tc>
          <w:tcPr>
            <w:tcW w:w="36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4256" w:type="dxa"/>
            <w:gridSpan w:val="2"/>
            <w:tcBorders/>
            <w:vAlign w:val="center"/>
          </w:tcPr>
          <w:p>
            <w:pPr>
              <w:pStyle w:val="TableContents"/>
              <w:bidi w:val="0"/>
              <w:spacing w:before="0" w:after="283"/>
              <w:jc w:val="left"/>
              <w:rPr>
                <w:sz w:val="4"/>
                <w:szCs w:val="4"/>
              </w:rPr>
            </w:pPr>
            <w:r>
              <w:rPr>
                <w:sz w:val="4"/>
                <w:szCs w:val="4"/>
              </w:rPr>
            </w:r>
          </w:p>
        </w:tc>
        <w:tc>
          <w:tcPr>
            <w:tcW w:w="1068"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c>
          <w:tcPr>
            <w:tcW w:w="1247" w:type="dxa"/>
            <w:gridSpan w:val="4"/>
            <w:tcBorders/>
            <w:vAlign w:val="center"/>
          </w:tcPr>
          <w:p>
            <w:pPr>
              <w:pStyle w:val="TableContents"/>
              <w:bidi w:val="0"/>
              <w:spacing w:before="0" w:after="283"/>
              <w:jc w:val="left"/>
              <w:rPr>
                <w:sz w:val="4"/>
                <w:szCs w:val="4"/>
              </w:rPr>
            </w:pPr>
            <w:r>
              <w:rPr>
                <w:sz w:val="4"/>
                <w:szCs w:val="4"/>
              </w:rPr>
            </w:r>
          </w:p>
        </w:tc>
        <w:tc>
          <w:tcPr>
            <w:tcW w:w="1571"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24.1*</w:t>
            </w:r>
          </w:p>
        </w:tc>
        <w:tc>
          <w:tcPr>
            <w:tcW w:w="425" w:type="dxa"/>
            <w:tcBorders/>
            <w:vAlign w:val="bottom"/>
          </w:tcPr>
          <w:p>
            <w:pPr>
              <w:pStyle w:val="TableContents"/>
              <w:bidi w:val="0"/>
              <w:spacing w:before="0" w:after="283"/>
              <w:jc w:val="left"/>
              <w:rPr/>
            </w:pPr>
            <w:r>
              <w:rPr/>
              <w:t>  </w:t>
            </w:r>
          </w:p>
        </w:tc>
        <w:tc>
          <w:tcPr>
            <w:tcW w:w="3831" w:type="dxa"/>
            <w:tcBorders/>
          </w:tcPr>
          <w:p>
            <w:pPr>
              <w:pStyle w:val="TableContents"/>
              <w:bidi w:val="0"/>
              <w:spacing w:before="0" w:after="283"/>
              <w:jc w:val="left"/>
              <w:rPr/>
            </w:pPr>
            <w:hyperlink w:anchor="ii105320_sig">
              <w:r>
                <w:rPr>
                  <w:rStyle w:val="InternetLink"/>
                </w:rPr>
                <w:t xml:space="preserve">Power of Attorney (included on the signature page of this registration statement) </w:t>
              </w:r>
            </w:hyperlink>
          </w:p>
        </w:tc>
        <w:tc>
          <w:tcPr>
            <w:tcW w:w="36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4256" w:type="dxa"/>
            <w:gridSpan w:val="2"/>
            <w:tcBorders/>
            <w:vAlign w:val="center"/>
          </w:tcPr>
          <w:p>
            <w:pPr>
              <w:pStyle w:val="TableContents"/>
              <w:bidi w:val="0"/>
              <w:spacing w:before="0" w:after="283"/>
              <w:jc w:val="left"/>
              <w:rPr>
                <w:sz w:val="4"/>
                <w:szCs w:val="4"/>
              </w:rPr>
            </w:pPr>
            <w:r>
              <w:rPr>
                <w:sz w:val="4"/>
                <w:szCs w:val="4"/>
              </w:rPr>
            </w:r>
          </w:p>
        </w:tc>
        <w:tc>
          <w:tcPr>
            <w:tcW w:w="1068"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c>
          <w:tcPr>
            <w:tcW w:w="1247" w:type="dxa"/>
            <w:gridSpan w:val="4"/>
            <w:tcBorders/>
            <w:vAlign w:val="center"/>
          </w:tcPr>
          <w:p>
            <w:pPr>
              <w:pStyle w:val="TableContents"/>
              <w:bidi w:val="0"/>
              <w:spacing w:before="0" w:after="283"/>
              <w:jc w:val="left"/>
              <w:rPr>
                <w:sz w:val="4"/>
                <w:szCs w:val="4"/>
              </w:rPr>
            </w:pPr>
            <w:r>
              <w:rPr>
                <w:sz w:val="4"/>
                <w:szCs w:val="4"/>
              </w:rPr>
            </w:r>
          </w:p>
        </w:tc>
        <w:tc>
          <w:tcPr>
            <w:tcW w:w="1571"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25.1++</w:t>
            </w:r>
          </w:p>
        </w:tc>
        <w:tc>
          <w:tcPr>
            <w:tcW w:w="425" w:type="dxa"/>
            <w:tcBorders/>
            <w:vAlign w:val="bottom"/>
          </w:tcPr>
          <w:p>
            <w:pPr>
              <w:pStyle w:val="TableContents"/>
              <w:bidi w:val="0"/>
              <w:spacing w:before="0" w:after="283"/>
              <w:jc w:val="left"/>
              <w:rPr/>
            </w:pPr>
            <w:r>
              <w:rPr/>
              <w:t>  </w:t>
            </w:r>
          </w:p>
        </w:tc>
        <w:tc>
          <w:tcPr>
            <w:tcW w:w="3831" w:type="dxa"/>
            <w:tcBorders/>
          </w:tcPr>
          <w:p>
            <w:pPr>
              <w:pStyle w:val="TableContents"/>
              <w:bidi w:val="0"/>
              <w:spacing w:before="0" w:after="283"/>
              <w:jc w:val="left"/>
              <w:rPr/>
            </w:pPr>
            <w:r>
              <w:rPr/>
              <w:t>Statement of Eligibility of Trustee under the Debt Indenture</w:t>
            </w:r>
          </w:p>
        </w:tc>
        <w:tc>
          <w:tcPr>
            <w:tcW w:w="36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10" w:type="dxa"/>
            <w:tcBorders/>
            <w:vAlign w:val="center"/>
          </w:tcPr>
          <w:p>
            <w:pPr>
              <w:pStyle w:val="TableContents"/>
              <w:bidi w:val="0"/>
              <w:spacing w:before="0" w:after="283"/>
              <w:jc w:val="left"/>
              <w:rPr>
                <w:sz w:val="4"/>
                <w:szCs w:val="4"/>
              </w:rPr>
            </w:pPr>
            <w:r>
              <w:rPr>
                <w:sz w:val="4"/>
                <w:szCs w:val="4"/>
              </w:rPr>
            </w:r>
          </w:p>
        </w:tc>
        <w:tc>
          <w:tcPr>
            <w:tcW w:w="4256" w:type="dxa"/>
            <w:gridSpan w:val="2"/>
            <w:tcBorders/>
            <w:vAlign w:val="center"/>
          </w:tcPr>
          <w:p>
            <w:pPr>
              <w:pStyle w:val="TableContents"/>
              <w:bidi w:val="0"/>
              <w:spacing w:before="0" w:after="283"/>
              <w:jc w:val="left"/>
              <w:rPr>
                <w:sz w:val="4"/>
                <w:szCs w:val="4"/>
              </w:rPr>
            </w:pPr>
            <w:r>
              <w:rPr>
                <w:sz w:val="4"/>
                <w:szCs w:val="4"/>
              </w:rPr>
            </w:r>
          </w:p>
        </w:tc>
        <w:tc>
          <w:tcPr>
            <w:tcW w:w="1068"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c>
          <w:tcPr>
            <w:tcW w:w="1247" w:type="dxa"/>
            <w:gridSpan w:val="4"/>
            <w:tcBorders/>
            <w:vAlign w:val="center"/>
          </w:tcPr>
          <w:p>
            <w:pPr>
              <w:pStyle w:val="TableContents"/>
              <w:bidi w:val="0"/>
              <w:spacing w:before="0" w:after="283"/>
              <w:jc w:val="left"/>
              <w:rPr>
                <w:sz w:val="4"/>
                <w:szCs w:val="4"/>
              </w:rPr>
            </w:pPr>
            <w:r>
              <w:rPr>
                <w:sz w:val="4"/>
                <w:szCs w:val="4"/>
              </w:rPr>
            </w:r>
          </w:p>
        </w:tc>
        <w:tc>
          <w:tcPr>
            <w:tcW w:w="1571" w:type="dxa"/>
            <w:gridSpan w:val="4"/>
            <w:tcBorders/>
            <w:vAlign w:val="center"/>
          </w:tcPr>
          <w:p>
            <w:pPr>
              <w:pStyle w:val="TableContents"/>
              <w:bidi w:val="0"/>
              <w:spacing w:before="0" w:after="283"/>
              <w:jc w:val="left"/>
              <w:rPr>
                <w:sz w:val="4"/>
                <w:szCs w:val="4"/>
              </w:rPr>
            </w:pPr>
            <w:r>
              <w:rPr>
                <w:sz w:val="4"/>
                <w:szCs w:val="4"/>
              </w:rPr>
            </w:r>
          </w:p>
        </w:tc>
      </w:tr>
      <w:tr>
        <w:trPr/>
        <w:tc>
          <w:tcPr>
            <w:tcW w:w="710" w:type="dxa"/>
            <w:tcBorders/>
          </w:tcPr>
          <w:p>
            <w:pPr>
              <w:pStyle w:val="TableContents"/>
              <w:bidi w:val="0"/>
              <w:spacing w:before="0" w:after="283"/>
              <w:jc w:val="left"/>
              <w:rPr/>
            </w:pPr>
            <w:r>
              <w:rPr/>
              <w:t>107*</w:t>
            </w:r>
          </w:p>
        </w:tc>
        <w:tc>
          <w:tcPr>
            <w:tcW w:w="425" w:type="dxa"/>
            <w:tcBorders/>
            <w:vAlign w:val="bottom"/>
          </w:tcPr>
          <w:p>
            <w:pPr>
              <w:pStyle w:val="TableContents"/>
              <w:bidi w:val="0"/>
              <w:spacing w:before="0" w:after="283"/>
              <w:jc w:val="left"/>
              <w:rPr/>
            </w:pPr>
            <w:r>
              <w:rPr/>
              <w:t>  </w:t>
            </w:r>
          </w:p>
        </w:tc>
        <w:tc>
          <w:tcPr>
            <w:tcW w:w="3831" w:type="dxa"/>
            <w:tcBorders/>
          </w:tcPr>
          <w:p>
            <w:pPr>
              <w:pStyle w:val="TableContents"/>
              <w:bidi w:val="0"/>
              <w:spacing w:before="0" w:after="283"/>
              <w:jc w:val="left"/>
              <w:rPr/>
            </w:pPr>
            <w:hyperlink w:anchor="d105320dexfilingfees.htm">
              <w:r>
                <w:rPr>
                  <w:rStyle w:val="InternetLink"/>
                </w:rPr>
                <w:t xml:space="preserve">Filing Fee Table </w:t>
              </w:r>
            </w:hyperlink>
          </w:p>
        </w:tc>
        <w:tc>
          <w:tcPr>
            <w:tcW w:w="36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535" w:type="dxa"/>
            <w:tcBorders/>
            <w:vAlign w:val="bottom"/>
          </w:tcPr>
          <w:p>
            <w:pPr>
              <w:pStyle w:val="TableContents"/>
              <w:bidi w:val="0"/>
              <w:spacing w:before="0" w:after="283"/>
              <w:jc w:val="left"/>
              <w:rPr>
                <w:sz w:val="4"/>
                <w:szCs w:val="4"/>
              </w:rPr>
            </w:pPr>
            <w:r>
              <w:rPr>
                <w:sz w:val="4"/>
                <w:szCs w:val="4"/>
              </w:rPr>
            </w:r>
          </w:p>
        </w:tc>
        <w:tc>
          <w:tcPr>
            <w:tcW w:w="610"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by a report filed under the Securities Exchange Act of 1934, as amended, and incorporated herein by reference, if applicable.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applicable, in accordance with the requirements of Section 305(b)(2) of the Trust Indenture Act of 1939 and Rule 5b-3 thereunder.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Rules 456(b) and 457(r) under the Securities Act of 1933, the registrant is deferring payment of all of the registration fee required in connection with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 xml:space="preserve">provided, however, </w:t>
      </w:r>
      <w:r>
        <w:rPr>
          <w:rFonts w:ascii="Times New Roman" w:hAnsi="Times New Roman"/>
          <w:sz w:val="20"/>
        </w:rPr>
        <w:t xml:space="preserve">that paragraphs (a)(1)(i), (a)(1)(ii) and (1)(iii)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24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240" w:after="0"/>
        <w:jc w:val="left"/>
        <w:rPr>
          <w:rFonts w:ascii="Times New Roman" w:hAnsi="Times New Roman"/>
          <w:sz w:val="20"/>
        </w:rPr>
      </w:pPr>
      <w:r>
        <w:rPr>
          <w:rFonts w:ascii="Times New Roman" w:hAnsi="Times New Roman"/>
          <w:sz w:val="20"/>
        </w:rPr>
        <w:t xml:space="preserve">(6) That, for purposes of determining any liability under the Securities Act, each filing of the registrant’s annual report pursuant to Sections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(7) 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(8)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(9) To file an application for the purpose of determining the eligibility of the trustee to act under subsection (a) of Section 310 of the Trust Indenture Act in accordance with the rules and regulations prescribed by the SEC under Section 305(b)(2)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ii105320_sig"/>
      <w:bookmarkEnd w:id="18"/>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September 4,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VOR BIOPHARMA INC.</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Jean-Paul Kress</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pPr>
            <w:r>
              <w:rPr/>
              <w:t>Jean-Paul Kress, M.D.</w:t>
            </w:r>
          </w:p>
        </w:tc>
      </w:tr>
      <w:tr>
        <w:trPr/>
        <w:tc>
          <w:tcPr>
            <w:tcW w:w="37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vAlign w:val="bottom"/>
          </w:tcPr>
          <w:p>
            <w:pPr>
              <w:pStyle w:val="TableContents"/>
              <w:bidi w:val="0"/>
              <w:spacing w:before="0" w:after="283"/>
              <w:jc w:val="left"/>
              <w:rPr>
                <w:i/>
              </w:rPr>
            </w:pPr>
            <w:r>
              <w:rPr>
                <w:i/>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b/>
          <w:sz w:val="20"/>
        </w:rPr>
        <w:t>KNOW ALL PERSONS BY THESE PRESENTS</w:t>
      </w:r>
      <w:r>
        <w:rPr>
          <w:rFonts w:ascii="Times New Roman" w:hAnsi="Times New Roman"/>
          <w:sz w:val="20"/>
        </w:rPr>
        <w:t xml:space="preserve">, that each of the persons whose names appear below constitutes and appoints Jean-Paul Kress and Sandesh Mahatme, and each of them, such person’s true and lawful attorney in fact and agent, with full power of substitution and re-substitution, for such person and in his or her name, place and stead, in any and all capacities, to execute any and all amendments (including post-effective amendments) to this Registration Statement (or any other registration statement for the same offering that is to be effective upon filing pursuant to Rule 462(b) under the U.S. Securities Act of 1933), and to file the same, together with all exhibits thereto, and other documents in connection therewith, with the U.S. Securities and Exchange Commission, and such other agencies, offices and persons as may be required by applicable law, granting unto said attorney in fact and agent, full power and authority to do and perform each and every act and thing requisite or necessary to be done in and about the premises, as fully to all intents and purposes as such person might or could do in person, hereby ratifying and confirming all that each said attorney-in-fact and agent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8"/>
        <w:gridCol w:w="120"/>
        <w:gridCol w:w="3477"/>
        <w:gridCol w:w="199"/>
        <w:gridCol w:w="1991"/>
      </w:tblGrid>
      <w:tr>
        <w:trPr/>
        <w:tc>
          <w:tcPr>
            <w:tcW w:w="44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77"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4418" w:type="dxa"/>
            <w:tcBorders/>
            <w:vAlign w:val="bottom"/>
          </w:tcPr>
          <w:p>
            <w:pPr>
              <w:pStyle w:val="TableContents"/>
              <w:bidi w:val="0"/>
              <w:spacing w:before="0" w:after="283"/>
              <w:jc w:val="left"/>
              <w:rPr>
                <w:b/>
              </w:rPr>
            </w:pPr>
            <w:r>
              <w:rPr>
                <w:b/>
              </w:rPr>
              <w:t>Signature</w:t>
            </w:r>
          </w:p>
        </w:tc>
        <w:tc>
          <w:tcPr>
            <w:tcW w:w="120" w:type="dxa"/>
            <w:tcBorders/>
            <w:vAlign w:val="bottom"/>
          </w:tcPr>
          <w:p>
            <w:pPr>
              <w:pStyle w:val="TableContents"/>
              <w:bidi w:val="0"/>
              <w:spacing w:before="0" w:after="283"/>
              <w:jc w:val="left"/>
              <w:rPr/>
            </w:pPr>
            <w:r>
              <w:rPr/>
              <w:t>  </w:t>
            </w:r>
          </w:p>
        </w:tc>
        <w:tc>
          <w:tcPr>
            <w:tcW w:w="3477" w:type="dxa"/>
            <w:tcBorders/>
            <w:vAlign w:val="bottom"/>
          </w:tcPr>
          <w:p>
            <w:pPr>
              <w:pStyle w:val="TableContents"/>
              <w:bidi w:val="0"/>
              <w:spacing w:before="0" w:after="283"/>
              <w:jc w:val="center"/>
              <w:rPr>
                <w:b/>
              </w:rPr>
            </w:pPr>
            <w:r>
              <w:rPr>
                <w:b/>
              </w:rPr>
              <w:t>Title</w:t>
            </w:r>
          </w:p>
        </w:tc>
        <w:tc>
          <w:tcPr>
            <w:tcW w:w="199" w:type="dxa"/>
            <w:tcBorders/>
            <w:vAlign w:val="bottom"/>
          </w:tcPr>
          <w:p>
            <w:pPr>
              <w:pStyle w:val="TableContents"/>
              <w:bidi w:val="0"/>
              <w:spacing w:before="0" w:after="283"/>
              <w:jc w:val="left"/>
              <w:rPr/>
            </w:pPr>
            <w:r>
              <w:rPr/>
              <w:t> </w:t>
            </w:r>
          </w:p>
        </w:tc>
        <w:tc>
          <w:tcPr>
            <w:tcW w:w="1991" w:type="dxa"/>
            <w:tcBorders/>
            <w:vAlign w:val="bottom"/>
          </w:tcPr>
          <w:p>
            <w:pPr>
              <w:pStyle w:val="TableContents"/>
              <w:bidi w:val="0"/>
              <w:spacing w:before="0" w:after="283"/>
              <w:jc w:val="center"/>
              <w:rPr>
                <w:b/>
              </w:rPr>
            </w:pPr>
            <w:r>
              <w:rPr>
                <w:b/>
              </w:rPr>
              <w:t>Date</w:t>
            </w:r>
          </w:p>
        </w:tc>
      </w:tr>
      <w:tr>
        <w:trPr>
          <w:trHeight w:val="240" w:hRule="atLeast"/>
        </w:trPr>
        <w:tc>
          <w:tcPr>
            <w:tcW w:w="4418" w:type="dxa"/>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441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Jean-Paul Kress</w:t>
            </w:r>
          </w:p>
          <w:p>
            <w:pPr>
              <w:pStyle w:val="TableContents"/>
              <w:bidi w:val="0"/>
              <w:spacing w:before="0" w:after="20"/>
              <w:jc w:val="left"/>
              <w:rPr>
                <w:rFonts w:ascii="Times New Roman" w:hAnsi="Times New Roman"/>
                <w:sz w:val="20"/>
              </w:rPr>
            </w:pPr>
            <w:r>
              <w:rPr>
                <w:rFonts w:ascii="Times New Roman" w:hAnsi="Times New Roman"/>
                <w:sz w:val="20"/>
              </w:rPr>
              <w:t>Jean-Paul Kress, M.D.</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0"/>
              <w:jc w:val="center"/>
              <w:rPr>
                <w:rFonts w:ascii="Times New Roman" w:hAnsi="Times New Roman"/>
                <w:sz w:val="20"/>
              </w:rPr>
            </w:pPr>
            <w:r>
              <w:rPr>
                <w:rFonts w:ascii="Times New Roman" w:hAnsi="Times New Roman"/>
                <w:sz w:val="20"/>
              </w:rPr>
              <w:t>President, Chief Executive Officer, Chairman and Director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99" w:type="dxa"/>
            <w:tcBorders/>
            <w:vAlign w:val="bottom"/>
          </w:tcPr>
          <w:p>
            <w:pPr>
              <w:pStyle w:val="TableContents"/>
              <w:bidi w:val="0"/>
              <w:spacing w:before="0" w:after="283"/>
              <w:jc w:val="left"/>
              <w:rPr/>
            </w:pPr>
            <w:r>
              <w:rPr/>
              <w:t> </w:t>
            </w:r>
          </w:p>
        </w:tc>
        <w:tc>
          <w:tcPr>
            <w:tcW w:w="1991" w:type="dxa"/>
            <w:tcBorders/>
          </w:tcPr>
          <w:p>
            <w:pPr>
              <w:pStyle w:val="TableContents"/>
              <w:bidi w:val="0"/>
              <w:spacing w:before="0" w:after="283"/>
              <w:jc w:val="center"/>
              <w:rPr/>
            </w:pPr>
            <w:r>
              <w:rPr/>
              <w:t>September 4, 2026</w:t>
            </w:r>
          </w:p>
        </w:tc>
      </w:tr>
      <w:tr>
        <w:trPr>
          <w:trHeight w:val="240" w:hRule="atLeast"/>
        </w:trPr>
        <w:tc>
          <w:tcPr>
            <w:tcW w:w="4418" w:type="dxa"/>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441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Sandesh Mahatme</w:t>
            </w:r>
          </w:p>
          <w:p>
            <w:pPr>
              <w:pStyle w:val="TableContents"/>
              <w:bidi w:val="0"/>
              <w:spacing w:before="0" w:after="20"/>
              <w:jc w:val="left"/>
              <w:rPr>
                <w:rFonts w:ascii="Times New Roman" w:hAnsi="Times New Roman"/>
                <w:sz w:val="20"/>
              </w:rPr>
            </w:pPr>
            <w:r>
              <w:rPr>
                <w:rFonts w:ascii="Times New Roman" w:hAnsi="Times New Roman"/>
                <w:sz w:val="20"/>
              </w:rPr>
              <w:t>Sandesh Mahatme, J.D., LL.M.</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 and Chief Business Officer</w:t>
            </w:r>
          </w:p>
          <w:p>
            <w:pPr>
              <w:pStyle w:val="TableContents"/>
              <w:bidi w:val="0"/>
              <w:spacing w:before="0" w:after="20"/>
              <w:jc w:val="center"/>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c>
          <w:tcPr>
            <w:tcW w:w="199" w:type="dxa"/>
            <w:tcBorders/>
            <w:vAlign w:val="bottom"/>
          </w:tcPr>
          <w:p>
            <w:pPr>
              <w:pStyle w:val="TableContents"/>
              <w:bidi w:val="0"/>
              <w:spacing w:before="0" w:after="283"/>
              <w:jc w:val="left"/>
              <w:rPr/>
            </w:pPr>
            <w:r>
              <w:rPr/>
              <w:t> </w:t>
            </w:r>
          </w:p>
        </w:tc>
        <w:tc>
          <w:tcPr>
            <w:tcW w:w="1991" w:type="dxa"/>
            <w:tcBorders/>
          </w:tcPr>
          <w:p>
            <w:pPr>
              <w:pStyle w:val="TableContents"/>
              <w:bidi w:val="0"/>
              <w:spacing w:before="0" w:after="283"/>
              <w:jc w:val="center"/>
              <w:rPr/>
            </w:pPr>
            <w:r>
              <w:rPr/>
              <w:t>September 4, 2026</w:t>
            </w:r>
          </w:p>
        </w:tc>
      </w:tr>
      <w:tr>
        <w:trPr>
          <w:trHeight w:val="240" w:hRule="atLeast"/>
        </w:trPr>
        <w:tc>
          <w:tcPr>
            <w:tcW w:w="4418" w:type="dxa"/>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441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Daniella Beckman</w:t>
            </w:r>
          </w:p>
          <w:p>
            <w:pPr>
              <w:pStyle w:val="TableContents"/>
              <w:bidi w:val="0"/>
              <w:spacing w:before="0" w:after="20"/>
              <w:jc w:val="left"/>
              <w:rPr>
                <w:rFonts w:ascii="Times New Roman" w:hAnsi="Times New Roman"/>
                <w:sz w:val="20"/>
              </w:rPr>
            </w:pPr>
            <w:r>
              <w:rPr>
                <w:rFonts w:ascii="Times New Roman" w:hAnsi="Times New Roman"/>
                <w:sz w:val="20"/>
              </w:rPr>
              <w:t>Daniella Beckman</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91" w:type="dxa"/>
            <w:tcBorders/>
          </w:tcPr>
          <w:p>
            <w:pPr>
              <w:pStyle w:val="TableContents"/>
              <w:bidi w:val="0"/>
              <w:spacing w:before="0" w:after="283"/>
              <w:jc w:val="center"/>
              <w:rPr/>
            </w:pPr>
            <w:r>
              <w:rPr/>
              <w:t>September 4, 2026</w:t>
            </w:r>
          </w:p>
        </w:tc>
      </w:tr>
      <w:tr>
        <w:trPr>
          <w:trHeight w:val="240" w:hRule="atLeast"/>
        </w:trPr>
        <w:tc>
          <w:tcPr>
            <w:tcW w:w="4418" w:type="dxa"/>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441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Alexander Cumbo</w:t>
            </w:r>
          </w:p>
          <w:p>
            <w:pPr>
              <w:pStyle w:val="TableContents"/>
              <w:bidi w:val="0"/>
              <w:spacing w:before="0" w:after="20"/>
              <w:jc w:val="left"/>
              <w:rPr>
                <w:rFonts w:ascii="Times New Roman" w:hAnsi="Times New Roman"/>
                <w:sz w:val="20"/>
              </w:rPr>
            </w:pPr>
            <w:r>
              <w:rPr>
                <w:rFonts w:ascii="Times New Roman" w:hAnsi="Times New Roman"/>
                <w:sz w:val="20"/>
              </w:rPr>
              <w:t>Alexander Cumbo</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91" w:type="dxa"/>
            <w:tcBorders/>
          </w:tcPr>
          <w:p>
            <w:pPr>
              <w:pStyle w:val="TableContents"/>
              <w:bidi w:val="0"/>
              <w:spacing w:before="0" w:after="283"/>
              <w:jc w:val="center"/>
              <w:rPr/>
            </w:pPr>
            <w:r>
              <w:rPr/>
              <w:t>September 4, 2026</w:t>
            </w:r>
          </w:p>
        </w:tc>
      </w:tr>
      <w:tr>
        <w:trPr>
          <w:trHeight w:val="240" w:hRule="atLeast"/>
        </w:trPr>
        <w:tc>
          <w:tcPr>
            <w:tcW w:w="4418" w:type="dxa"/>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441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Michel Detheux</w:t>
            </w:r>
          </w:p>
          <w:p>
            <w:pPr>
              <w:pStyle w:val="TableContents"/>
              <w:bidi w:val="0"/>
              <w:spacing w:before="0" w:after="20"/>
              <w:jc w:val="left"/>
              <w:rPr>
                <w:rFonts w:ascii="Times New Roman" w:hAnsi="Times New Roman"/>
                <w:sz w:val="20"/>
              </w:rPr>
            </w:pPr>
            <w:r>
              <w:rPr>
                <w:rFonts w:ascii="Times New Roman" w:hAnsi="Times New Roman"/>
                <w:sz w:val="20"/>
              </w:rPr>
              <w:t>Michel Detheux, Ph.D.</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91" w:type="dxa"/>
            <w:tcBorders/>
          </w:tcPr>
          <w:p>
            <w:pPr>
              <w:pStyle w:val="TableContents"/>
              <w:bidi w:val="0"/>
              <w:spacing w:before="0" w:after="283"/>
              <w:jc w:val="center"/>
              <w:rPr/>
            </w:pPr>
            <w:r>
              <w:rPr/>
              <w:t>September 4, 2026</w:t>
            </w:r>
          </w:p>
        </w:tc>
      </w:tr>
      <w:tr>
        <w:trPr>
          <w:trHeight w:val="240" w:hRule="atLeast"/>
        </w:trPr>
        <w:tc>
          <w:tcPr>
            <w:tcW w:w="4418" w:type="dxa"/>
            <w:tcBorders/>
            <w:vAlign w:val="center"/>
          </w:tcPr>
          <w:p>
            <w:pPr>
              <w:pStyle w:val="TableContents"/>
              <w:bidi w:val="0"/>
              <w:spacing w:before="0" w:after="283"/>
              <w:jc w:val="left"/>
              <w:rPr>
                <w:sz w:val="4"/>
                <w:szCs w:val="4"/>
              </w:rPr>
            </w:pPr>
            <w:r>
              <w:rPr>
                <w:sz w:val="4"/>
                <w:szCs w:val="4"/>
              </w:rPr>
            </w:r>
          </w:p>
        </w:tc>
        <w:tc>
          <w:tcPr>
            <w:tcW w:w="3597" w:type="dxa"/>
            <w:gridSpan w:val="2"/>
            <w:tcBorders/>
            <w:vAlign w:val="center"/>
          </w:tcPr>
          <w:p>
            <w:pPr>
              <w:pStyle w:val="TableContents"/>
              <w:bidi w:val="0"/>
              <w:spacing w:before="0" w:after="283"/>
              <w:jc w:val="left"/>
              <w:rPr>
                <w:sz w:val="4"/>
                <w:szCs w:val="4"/>
              </w:rPr>
            </w:pPr>
            <w:r>
              <w:rPr>
                <w:sz w:val="4"/>
                <w:szCs w:val="4"/>
              </w:rPr>
            </w:r>
          </w:p>
        </w:tc>
        <w:tc>
          <w:tcPr>
            <w:tcW w:w="2190" w:type="dxa"/>
            <w:gridSpan w:val="2"/>
            <w:tcBorders/>
            <w:vAlign w:val="center"/>
          </w:tcPr>
          <w:p>
            <w:pPr>
              <w:pStyle w:val="TableContents"/>
              <w:bidi w:val="0"/>
              <w:spacing w:before="0" w:after="283"/>
              <w:jc w:val="left"/>
              <w:rPr>
                <w:sz w:val="4"/>
                <w:szCs w:val="4"/>
              </w:rPr>
            </w:pPr>
            <w:r>
              <w:rPr>
                <w:sz w:val="4"/>
                <w:szCs w:val="4"/>
              </w:rPr>
            </w:r>
          </w:p>
        </w:tc>
      </w:tr>
      <w:tr>
        <w:trPr/>
        <w:tc>
          <w:tcPr>
            <w:tcW w:w="441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Wouter Joustra</w:t>
            </w:r>
          </w:p>
          <w:p>
            <w:pPr>
              <w:pStyle w:val="TableContents"/>
              <w:bidi w:val="0"/>
              <w:spacing w:before="0" w:after="20"/>
              <w:jc w:val="left"/>
              <w:rPr>
                <w:rFonts w:ascii="Times New Roman" w:hAnsi="Times New Roman"/>
                <w:sz w:val="20"/>
              </w:rPr>
            </w:pPr>
            <w:r>
              <w:rPr>
                <w:rFonts w:ascii="Times New Roman" w:hAnsi="Times New Roman"/>
                <w:sz w:val="20"/>
              </w:rPr>
              <w:t>Wouter Joustra</w:t>
            </w:r>
          </w:p>
        </w:tc>
        <w:tc>
          <w:tcPr>
            <w:tcW w:w="120" w:type="dxa"/>
            <w:tcBorders/>
            <w:vAlign w:val="bottom"/>
          </w:tcPr>
          <w:p>
            <w:pPr>
              <w:pStyle w:val="TableContents"/>
              <w:bidi w:val="0"/>
              <w:spacing w:before="0" w:after="283"/>
              <w:jc w:val="left"/>
              <w:rPr/>
            </w:pPr>
            <w:r>
              <w:rPr/>
              <w:t>  </w:t>
            </w:r>
          </w:p>
        </w:tc>
        <w:tc>
          <w:tcPr>
            <w:tcW w:w="347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199" w:type="dxa"/>
            <w:tcBorders/>
            <w:vAlign w:val="bottom"/>
          </w:tcPr>
          <w:p>
            <w:pPr>
              <w:pStyle w:val="TableContents"/>
              <w:bidi w:val="0"/>
              <w:spacing w:before="0" w:after="283"/>
              <w:jc w:val="left"/>
              <w:rPr/>
            </w:pPr>
            <w:r>
              <w:rPr/>
              <w:t> </w:t>
            </w:r>
          </w:p>
        </w:tc>
        <w:tc>
          <w:tcPr>
            <w:tcW w:w="1991" w:type="dxa"/>
            <w:tcBorders/>
          </w:tcPr>
          <w:p>
            <w:pPr>
              <w:pStyle w:val="TableContents"/>
              <w:bidi w:val="0"/>
              <w:spacing w:before="0" w:after="283"/>
              <w:jc w:val="center"/>
              <w:rPr/>
            </w:pPr>
            <w:r>
              <w:rPr/>
              <w:t>September 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438"/>
        <w:gridCol w:w="121"/>
        <w:gridCol w:w="3427"/>
        <w:gridCol w:w="200"/>
        <w:gridCol w:w="2019"/>
      </w:tblGrid>
      <w:tr>
        <w:trPr/>
        <w:tc>
          <w:tcPr>
            <w:tcW w:w="44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427"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r>
      <w:tr>
        <w:trPr/>
        <w:tc>
          <w:tcPr>
            <w:tcW w:w="4438" w:type="dxa"/>
            <w:tcBorders/>
            <w:vAlign w:val="bottom"/>
          </w:tcPr>
          <w:p>
            <w:pPr>
              <w:pStyle w:val="TableContents"/>
              <w:bidi w:val="0"/>
              <w:spacing w:before="0" w:after="283"/>
              <w:jc w:val="left"/>
              <w:rPr>
                <w:b/>
              </w:rPr>
            </w:pPr>
            <w:r>
              <w:rPr>
                <w:b/>
              </w:rPr>
              <w:t>Signature</w:t>
            </w:r>
          </w:p>
        </w:tc>
        <w:tc>
          <w:tcPr>
            <w:tcW w:w="121" w:type="dxa"/>
            <w:tcBorders/>
            <w:vAlign w:val="bottom"/>
          </w:tcPr>
          <w:p>
            <w:pPr>
              <w:pStyle w:val="TableContents"/>
              <w:bidi w:val="0"/>
              <w:spacing w:before="0" w:after="283"/>
              <w:jc w:val="left"/>
              <w:rPr/>
            </w:pPr>
            <w:r>
              <w:rPr/>
              <w:t>  </w:t>
            </w:r>
          </w:p>
        </w:tc>
        <w:tc>
          <w:tcPr>
            <w:tcW w:w="3427" w:type="dxa"/>
            <w:tcBorders/>
            <w:vAlign w:val="bottom"/>
          </w:tcPr>
          <w:p>
            <w:pPr>
              <w:pStyle w:val="TableContents"/>
              <w:bidi w:val="0"/>
              <w:spacing w:before="0" w:after="283"/>
              <w:jc w:val="center"/>
              <w:rPr>
                <w:b/>
              </w:rPr>
            </w:pPr>
            <w:r>
              <w:rPr>
                <w:b/>
              </w:rPr>
              <w:t>Title</w:t>
            </w:r>
          </w:p>
        </w:tc>
        <w:tc>
          <w:tcPr>
            <w:tcW w:w="200" w:type="dxa"/>
            <w:tcBorders/>
            <w:vAlign w:val="bottom"/>
          </w:tcPr>
          <w:p>
            <w:pPr>
              <w:pStyle w:val="TableContents"/>
              <w:bidi w:val="0"/>
              <w:spacing w:before="0" w:after="283"/>
              <w:jc w:val="left"/>
              <w:rPr/>
            </w:pPr>
            <w:r>
              <w:rPr/>
              <w:t> </w:t>
            </w:r>
          </w:p>
        </w:tc>
        <w:tc>
          <w:tcPr>
            <w:tcW w:w="2019" w:type="dxa"/>
            <w:tcBorders/>
            <w:vAlign w:val="bottom"/>
          </w:tcPr>
          <w:p>
            <w:pPr>
              <w:pStyle w:val="TableContents"/>
              <w:bidi w:val="0"/>
              <w:spacing w:before="0" w:after="283"/>
              <w:jc w:val="center"/>
              <w:rPr>
                <w:b/>
              </w:rPr>
            </w:pPr>
            <w:r>
              <w:rPr>
                <w:b/>
              </w:rPr>
              <w:t>Date</w:t>
            </w:r>
          </w:p>
        </w:tc>
      </w:tr>
      <w:tr>
        <w:trPr>
          <w:trHeight w:val="240" w:hRule="atLeast"/>
        </w:trPr>
        <w:tc>
          <w:tcPr>
            <w:tcW w:w="4438" w:type="dxa"/>
            <w:tcBorders/>
            <w:vAlign w:val="center"/>
          </w:tcPr>
          <w:p>
            <w:pPr>
              <w:pStyle w:val="TableContents"/>
              <w:bidi w:val="0"/>
              <w:spacing w:before="0" w:after="283"/>
              <w:jc w:val="left"/>
              <w:rPr>
                <w:sz w:val="4"/>
                <w:szCs w:val="4"/>
              </w:rPr>
            </w:pPr>
            <w:r>
              <w:rPr>
                <w:sz w:val="4"/>
                <w:szCs w:val="4"/>
              </w:rPr>
            </w:r>
          </w:p>
        </w:tc>
        <w:tc>
          <w:tcPr>
            <w:tcW w:w="3548" w:type="dxa"/>
            <w:gridSpan w:val="2"/>
            <w:tcBorders/>
            <w:vAlign w:val="center"/>
          </w:tcPr>
          <w:p>
            <w:pPr>
              <w:pStyle w:val="TableContents"/>
              <w:bidi w:val="0"/>
              <w:spacing w:before="0" w:after="283"/>
              <w:jc w:val="left"/>
              <w:rPr>
                <w:sz w:val="4"/>
                <w:szCs w:val="4"/>
              </w:rPr>
            </w:pPr>
            <w:r>
              <w:rPr>
                <w:sz w:val="4"/>
                <w:szCs w:val="4"/>
              </w:rPr>
            </w:r>
          </w:p>
        </w:tc>
        <w:tc>
          <w:tcPr>
            <w:tcW w:w="2219" w:type="dxa"/>
            <w:gridSpan w:val="2"/>
            <w:tcBorders/>
            <w:vAlign w:val="center"/>
          </w:tcPr>
          <w:p>
            <w:pPr>
              <w:pStyle w:val="TableContents"/>
              <w:bidi w:val="0"/>
              <w:spacing w:before="0" w:after="283"/>
              <w:jc w:val="left"/>
              <w:rPr>
                <w:sz w:val="4"/>
                <w:szCs w:val="4"/>
              </w:rPr>
            </w:pPr>
            <w:r>
              <w:rPr>
                <w:sz w:val="4"/>
                <w:szCs w:val="4"/>
              </w:rPr>
            </w:r>
          </w:p>
        </w:tc>
      </w:tr>
      <w:tr>
        <w:trPr/>
        <w:tc>
          <w:tcPr>
            <w:tcW w:w="443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Erez Kalir</w:t>
            </w:r>
          </w:p>
          <w:p>
            <w:pPr>
              <w:pStyle w:val="TableContents"/>
              <w:bidi w:val="0"/>
              <w:spacing w:before="0" w:after="20"/>
              <w:jc w:val="left"/>
              <w:rPr>
                <w:rFonts w:ascii="Times New Roman" w:hAnsi="Times New Roman"/>
                <w:sz w:val="20"/>
              </w:rPr>
            </w:pPr>
            <w:r>
              <w:rPr>
                <w:rFonts w:ascii="Times New Roman" w:hAnsi="Times New Roman"/>
                <w:sz w:val="20"/>
              </w:rPr>
              <w:t>Erez Kalir</w:t>
            </w:r>
          </w:p>
        </w:tc>
        <w:tc>
          <w:tcPr>
            <w:tcW w:w="121" w:type="dxa"/>
            <w:tcBorders/>
            <w:vAlign w:val="bottom"/>
          </w:tcPr>
          <w:p>
            <w:pPr>
              <w:pStyle w:val="TableContents"/>
              <w:bidi w:val="0"/>
              <w:spacing w:before="0" w:after="283"/>
              <w:jc w:val="left"/>
              <w:rPr/>
            </w:pPr>
            <w:r>
              <w:rPr/>
              <w:t>  </w:t>
            </w:r>
          </w:p>
        </w:tc>
        <w:tc>
          <w:tcPr>
            <w:tcW w:w="342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2019" w:type="dxa"/>
            <w:tcBorders/>
          </w:tcPr>
          <w:p>
            <w:pPr>
              <w:pStyle w:val="TableContents"/>
              <w:bidi w:val="0"/>
              <w:spacing w:before="0" w:after="283"/>
              <w:jc w:val="center"/>
              <w:rPr/>
            </w:pPr>
            <w:r>
              <w:rPr/>
              <w:t>September 4, 2026</w:t>
            </w:r>
          </w:p>
        </w:tc>
      </w:tr>
      <w:tr>
        <w:trPr>
          <w:trHeight w:val="240" w:hRule="atLeast"/>
        </w:trPr>
        <w:tc>
          <w:tcPr>
            <w:tcW w:w="4438" w:type="dxa"/>
            <w:tcBorders/>
            <w:vAlign w:val="center"/>
          </w:tcPr>
          <w:p>
            <w:pPr>
              <w:pStyle w:val="TableContents"/>
              <w:bidi w:val="0"/>
              <w:spacing w:before="0" w:after="283"/>
              <w:jc w:val="left"/>
              <w:rPr>
                <w:sz w:val="4"/>
                <w:szCs w:val="4"/>
              </w:rPr>
            </w:pPr>
            <w:r>
              <w:rPr>
                <w:sz w:val="4"/>
                <w:szCs w:val="4"/>
              </w:rPr>
            </w:r>
          </w:p>
        </w:tc>
        <w:tc>
          <w:tcPr>
            <w:tcW w:w="3548" w:type="dxa"/>
            <w:gridSpan w:val="2"/>
            <w:tcBorders/>
            <w:vAlign w:val="center"/>
          </w:tcPr>
          <w:p>
            <w:pPr>
              <w:pStyle w:val="TableContents"/>
              <w:bidi w:val="0"/>
              <w:spacing w:before="0" w:after="283"/>
              <w:jc w:val="left"/>
              <w:rPr>
                <w:sz w:val="4"/>
                <w:szCs w:val="4"/>
              </w:rPr>
            </w:pPr>
            <w:r>
              <w:rPr>
                <w:sz w:val="4"/>
                <w:szCs w:val="4"/>
              </w:rPr>
            </w:r>
          </w:p>
        </w:tc>
        <w:tc>
          <w:tcPr>
            <w:tcW w:w="2219" w:type="dxa"/>
            <w:gridSpan w:val="2"/>
            <w:tcBorders/>
            <w:vAlign w:val="center"/>
          </w:tcPr>
          <w:p>
            <w:pPr>
              <w:pStyle w:val="TableContents"/>
              <w:bidi w:val="0"/>
              <w:spacing w:before="0" w:after="283"/>
              <w:jc w:val="left"/>
              <w:rPr>
                <w:sz w:val="4"/>
                <w:szCs w:val="4"/>
              </w:rPr>
            </w:pPr>
            <w:r>
              <w:rPr>
                <w:sz w:val="4"/>
                <w:szCs w:val="4"/>
              </w:rPr>
            </w:r>
          </w:p>
        </w:tc>
      </w:tr>
      <w:tr>
        <w:trPr/>
        <w:tc>
          <w:tcPr>
            <w:tcW w:w="443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Fouad Namouni</w:t>
            </w:r>
          </w:p>
          <w:p>
            <w:pPr>
              <w:pStyle w:val="TableContents"/>
              <w:bidi w:val="0"/>
              <w:spacing w:before="0" w:after="20"/>
              <w:jc w:val="left"/>
              <w:rPr>
                <w:rFonts w:ascii="Times New Roman" w:hAnsi="Times New Roman"/>
                <w:sz w:val="20"/>
              </w:rPr>
            </w:pPr>
            <w:r>
              <w:rPr>
                <w:rFonts w:ascii="Times New Roman" w:hAnsi="Times New Roman"/>
                <w:sz w:val="20"/>
              </w:rPr>
              <w:t>Fouad Namouni, M.D.</w:t>
            </w:r>
          </w:p>
        </w:tc>
        <w:tc>
          <w:tcPr>
            <w:tcW w:w="121" w:type="dxa"/>
            <w:tcBorders/>
            <w:vAlign w:val="bottom"/>
          </w:tcPr>
          <w:p>
            <w:pPr>
              <w:pStyle w:val="TableContents"/>
              <w:bidi w:val="0"/>
              <w:spacing w:before="0" w:after="283"/>
              <w:jc w:val="left"/>
              <w:rPr/>
            </w:pPr>
            <w:r>
              <w:rPr/>
              <w:t>  </w:t>
            </w:r>
          </w:p>
        </w:tc>
        <w:tc>
          <w:tcPr>
            <w:tcW w:w="342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2019" w:type="dxa"/>
            <w:tcBorders/>
          </w:tcPr>
          <w:p>
            <w:pPr>
              <w:pStyle w:val="TableContents"/>
              <w:bidi w:val="0"/>
              <w:spacing w:before="0" w:after="283"/>
              <w:jc w:val="center"/>
              <w:rPr/>
            </w:pPr>
            <w:r>
              <w:rPr/>
              <w:t>September 4, 2026</w:t>
            </w:r>
          </w:p>
        </w:tc>
      </w:tr>
      <w:tr>
        <w:trPr>
          <w:trHeight w:val="240" w:hRule="atLeast"/>
        </w:trPr>
        <w:tc>
          <w:tcPr>
            <w:tcW w:w="4438" w:type="dxa"/>
            <w:tcBorders/>
            <w:vAlign w:val="center"/>
          </w:tcPr>
          <w:p>
            <w:pPr>
              <w:pStyle w:val="TableContents"/>
              <w:bidi w:val="0"/>
              <w:spacing w:before="0" w:after="283"/>
              <w:jc w:val="left"/>
              <w:rPr>
                <w:sz w:val="4"/>
                <w:szCs w:val="4"/>
              </w:rPr>
            </w:pPr>
            <w:r>
              <w:rPr>
                <w:sz w:val="4"/>
                <w:szCs w:val="4"/>
              </w:rPr>
            </w:r>
          </w:p>
        </w:tc>
        <w:tc>
          <w:tcPr>
            <w:tcW w:w="3548" w:type="dxa"/>
            <w:gridSpan w:val="2"/>
            <w:tcBorders/>
            <w:vAlign w:val="center"/>
          </w:tcPr>
          <w:p>
            <w:pPr>
              <w:pStyle w:val="TableContents"/>
              <w:bidi w:val="0"/>
              <w:spacing w:before="0" w:after="283"/>
              <w:jc w:val="left"/>
              <w:rPr>
                <w:sz w:val="4"/>
                <w:szCs w:val="4"/>
              </w:rPr>
            </w:pPr>
            <w:r>
              <w:rPr>
                <w:sz w:val="4"/>
                <w:szCs w:val="4"/>
              </w:rPr>
            </w:r>
          </w:p>
        </w:tc>
        <w:tc>
          <w:tcPr>
            <w:tcW w:w="2219" w:type="dxa"/>
            <w:gridSpan w:val="2"/>
            <w:tcBorders/>
            <w:vAlign w:val="center"/>
          </w:tcPr>
          <w:p>
            <w:pPr>
              <w:pStyle w:val="TableContents"/>
              <w:bidi w:val="0"/>
              <w:spacing w:before="0" w:after="283"/>
              <w:jc w:val="left"/>
              <w:rPr>
                <w:sz w:val="4"/>
                <w:szCs w:val="4"/>
              </w:rPr>
            </w:pPr>
            <w:r>
              <w:rPr>
                <w:sz w:val="4"/>
                <w:szCs w:val="4"/>
              </w:rPr>
            </w:r>
          </w:p>
        </w:tc>
      </w:tr>
      <w:tr>
        <w:trPr/>
        <w:tc>
          <w:tcPr>
            <w:tcW w:w="443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David Zaccardelli</w:t>
            </w:r>
          </w:p>
          <w:p>
            <w:pPr>
              <w:pStyle w:val="TableContents"/>
              <w:bidi w:val="0"/>
              <w:spacing w:before="0" w:after="20"/>
              <w:jc w:val="left"/>
              <w:rPr>
                <w:rFonts w:ascii="Times New Roman" w:hAnsi="Times New Roman"/>
                <w:sz w:val="20"/>
              </w:rPr>
            </w:pPr>
            <w:r>
              <w:rPr>
                <w:rFonts w:ascii="Times New Roman" w:hAnsi="Times New Roman"/>
                <w:sz w:val="20"/>
              </w:rPr>
              <w:t>David Zaccardelli, Pharm.D.</w:t>
            </w:r>
          </w:p>
        </w:tc>
        <w:tc>
          <w:tcPr>
            <w:tcW w:w="121" w:type="dxa"/>
            <w:tcBorders/>
            <w:vAlign w:val="bottom"/>
          </w:tcPr>
          <w:p>
            <w:pPr>
              <w:pStyle w:val="TableContents"/>
              <w:bidi w:val="0"/>
              <w:spacing w:before="0" w:after="283"/>
              <w:jc w:val="left"/>
              <w:rPr/>
            </w:pPr>
            <w:r>
              <w:rPr/>
              <w:t>  </w:t>
            </w:r>
          </w:p>
        </w:tc>
        <w:tc>
          <w:tcPr>
            <w:tcW w:w="3427"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200" w:type="dxa"/>
            <w:tcBorders/>
            <w:vAlign w:val="bottom"/>
          </w:tcPr>
          <w:p>
            <w:pPr>
              <w:pStyle w:val="TableContents"/>
              <w:bidi w:val="0"/>
              <w:spacing w:before="0" w:after="283"/>
              <w:jc w:val="left"/>
              <w:rPr/>
            </w:pPr>
            <w:r>
              <w:rPr/>
              <w:t> </w:t>
            </w:r>
          </w:p>
        </w:tc>
        <w:tc>
          <w:tcPr>
            <w:tcW w:w="2019" w:type="dxa"/>
            <w:tcBorders/>
          </w:tcPr>
          <w:p>
            <w:pPr>
              <w:pStyle w:val="TableContents"/>
              <w:bidi w:val="0"/>
              <w:spacing w:before="0" w:after="283"/>
              <w:jc w:val="center"/>
              <w:rPr/>
            </w:pPr>
            <w:r>
              <w:rPr/>
              <w:t>September 4,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9" w:name="d105320dex42.htm"/>
      <w:bookmarkStart w:id="20" w:name="ksd105320dex42"/>
      <w:bookmarkEnd w:id="19"/>
      <w:bookmarkEnd w:id="20"/>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VOR BIOPHARMA INC., </w:t>
      </w:r>
    </w:p>
    <w:p>
      <w:pPr>
        <w:pStyle w:val="TextBody"/>
        <w:bidi w:val="0"/>
        <w:spacing w:before="240" w:after="0"/>
        <w:jc w:val="center"/>
        <w:rPr>
          <w:rFonts w:ascii="Times New Roman" w:hAnsi="Times New Roman"/>
          <w:b/>
          <w:sz w:val="20"/>
        </w:rPr>
      </w:pPr>
      <w:r>
        <w:rPr>
          <w:rFonts w:ascii="Times New Roman" w:hAnsi="Times New Roman"/>
          <w:b/>
          <w:sz w:val="20"/>
        </w:rPr>
        <w:t xml:space="preserve">ISSUER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 20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5"/>
        <w:gridCol w:w="260"/>
        <w:gridCol w:w="96"/>
        <w:gridCol w:w="421"/>
        <w:gridCol w:w="63"/>
      </w:tblGrid>
      <w:tr>
        <w:trPr/>
        <w:tc>
          <w:tcPr>
            <w:tcW w:w="936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 DEFINITIONS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1.01 Definitions of Terms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2 ISSUE, DESCRIPTION, TERMS, EXECUTION, REGISTRATION AND EXCHANGE OF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2.01 Designation and Terms of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2.02 Form of Securities and Trustee’s Certificate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2.03 Denominations: Provisions for Payment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2.04 Execution and Authentications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2.05 Registration of Transfer and Exchange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2.06 Temporary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2.07 Mutilated, Destroyed, Lost or Stolen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2.08 Cancellation</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2.09 Benefits of Indenture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2.10 Authenticating Agent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2.11 Global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2.12 CUSIP Numbers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3 REDEMPTION OF SECURITIES AND SINKING FUND PROVISIONS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3.01 Redemption</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3.02 Notice of Redemption</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3.03 Payment Upon Redemption</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3.04 Sinking Fund</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3.05 Satisfaction of Sinking Fund Payments with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3.06 Redemption of Securities for Sinking Fund</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4 COVENANTS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4.01 Payment of Principal, Premium and Interest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4.02 Maintenance of Office or Agency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4.03 Paying Agents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4.04 Appointment to Fill Vacancy in Office of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5 SECURITYHOLDERS’ LISTS AND REPORTS BY THE COMPANY AND THE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5.01 Company to Furnish Trustee Names and Addresses of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5.02 Preservation Of Information; Communications With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5.03 Reports by the Company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9365" w:type="dxa"/>
            <w:tcBorders/>
            <w:vAlign w:val="center"/>
          </w:tcPr>
          <w:p>
            <w:pPr>
              <w:pStyle w:val="TableContents"/>
              <w:bidi w:val="0"/>
              <w:spacing w:before="0" w:after="283"/>
              <w:jc w:val="left"/>
              <w:rPr>
                <w:sz w:val="4"/>
                <w:szCs w:val="4"/>
              </w:rPr>
            </w:pPr>
            <w:r>
              <w:rPr>
                <w:sz w:val="4"/>
                <w:szCs w:val="4"/>
              </w:rPr>
            </w:r>
          </w:p>
        </w:tc>
        <w:tc>
          <w:tcPr>
            <w:tcW w:w="840" w:type="dxa"/>
            <w:gridSpan w:val="4"/>
            <w:tcBorders/>
            <w:vAlign w:val="center"/>
          </w:tcPr>
          <w:p>
            <w:pPr>
              <w:pStyle w:val="TableContents"/>
              <w:bidi w:val="0"/>
              <w:spacing w:before="0" w:after="283"/>
              <w:jc w:val="left"/>
              <w:rPr>
                <w:sz w:val="4"/>
                <w:szCs w:val="4"/>
              </w:rPr>
            </w:pPr>
            <w:r>
              <w:rPr>
                <w:sz w:val="4"/>
                <w:szCs w:val="4"/>
              </w:rPr>
            </w:r>
          </w:p>
        </w:tc>
      </w:tr>
      <w:tr>
        <w:trPr/>
        <w:tc>
          <w:tcPr>
            <w:tcW w:w="93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5.04 Reports by the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7"/>
        <w:gridCol w:w="260"/>
        <w:gridCol w:w="96"/>
        <w:gridCol w:w="419"/>
        <w:gridCol w:w="63"/>
      </w:tblGrid>
      <w:tr>
        <w:trPr/>
        <w:tc>
          <w:tcPr>
            <w:tcW w:w="9367"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6 REMEDIES OF THE TRUSTEE AND SECURITYHOLDERS ON EVENT OF DEFAULT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6.01 Events of Default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6.02 Collection of Indebtedness and Suits for Enforcement by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6.03 Application of Moneys Collected</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6.04 Limitation on Suits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6.05 Rights and Remedies Cumulative; Delay or Omission Not Waiver</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6.06 Control by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6.07 Undertaking to Pay Costs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7 CONCERNING THE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7.01 Certain Duties and Responsibilities of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7.02 Certain Rights of Trustee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7.03 Trustee Not Responsible for Recitals or Issuance or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7.04 May Hold Securities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7.05 Moneys Held in Trust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7.06 Compensation and Reimbursement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7.07 Reliance on Officer’s Certificate</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7.08 Disqualification; Conflicting Interests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7.09 Corporate Trustee Required; Eligibility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7.10 Resignation and Removal; Appointment of Successor</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7.11 Acceptance of Appointment By Successor</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7.12 Merger, Conversion, Consolidation or Succession to Business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7.13 Preferential Collection of Claims Against the Company</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7.14 Notice of Default</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8 CONCERNING THE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8.01 Evidence of Action by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8.02 Proof of Execution by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8.03 Who May be Deemed Owners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8.04 Certain Securities Owned by Company Disregarded</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8.05 Actions Binding on Future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9 SUPPLEMENTAL INDENTURES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9.01 Supplemental Indentures Without the Consent of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9.02 Supplemental Indentures With Consent of Securityholders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9.03 Effect of Supplemental Indentures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9.04 Securities Affected by Supplemental Indentures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75" w:hRule="atLeast"/>
        </w:trPr>
        <w:tc>
          <w:tcPr>
            <w:tcW w:w="9367" w:type="dxa"/>
            <w:tcBorders/>
            <w:vAlign w:val="center"/>
          </w:tcPr>
          <w:p>
            <w:pPr>
              <w:pStyle w:val="TableContents"/>
              <w:bidi w:val="0"/>
              <w:spacing w:before="0" w:after="283"/>
              <w:jc w:val="left"/>
              <w:rPr>
                <w:sz w:val="4"/>
                <w:szCs w:val="4"/>
              </w:rPr>
            </w:pPr>
            <w:r>
              <w:rPr>
                <w:sz w:val="4"/>
                <w:szCs w:val="4"/>
              </w:rPr>
            </w:r>
          </w:p>
        </w:tc>
        <w:tc>
          <w:tcPr>
            <w:tcW w:w="838" w:type="dxa"/>
            <w:gridSpan w:val="4"/>
            <w:tcBorders/>
            <w:vAlign w:val="center"/>
          </w:tcPr>
          <w:p>
            <w:pPr>
              <w:pStyle w:val="TableContents"/>
              <w:bidi w:val="0"/>
              <w:spacing w:before="0" w:after="283"/>
              <w:jc w:val="left"/>
              <w:rPr>
                <w:sz w:val="4"/>
                <w:szCs w:val="4"/>
              </w:rPr>
            </w:pPr>
            <w:r>
              <w:rPr>
                <w:sz w:val="4"/>
                <w:szCs w:val="4"/>
              </w:rPr>
            </w:r>
          </w:p>
        </w:tc>
      </w:tr>
      <w:tr>
        <w:trPr/>
        <w:tc>
          <w:tcPr>
            <w:tcW w:w="93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9.05 Execution of Supplemental Indentures</w:t>
            </w:r>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4"/>
        <w:gridCol w:w="265"/>
        <w:gridCol w:w="96"/>
        <w:gridCol w:w="428"/>
        <w:gridCol w:w="62"/>
      </w:tblGrid>
      <w:tr>
        <w:trPr/>
        <w:tc>
          <w:tcPr>
            <w:tcW w:w="9354" w:type="dxa"/>
            <w:tcBorders/>
            <w:vAlign w:val="center"/>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10 SUCCESSOR ENTITY</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10.01 Company May Consolidate, Etc.</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10.02 Successor Entity Substituted</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11 SATISFACTION AND DISCHARGE</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11.01 Satisfaction and Discharge of Indenture</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11.02 Discharge of Obligations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11.03 Deposited Moneys to be Held in Trust</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11.04 Payment of Moneys Held by Paying Agents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11.05 Repayment to Company</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12 IMMUNITY OF INCORPORATORS, STOCKHOLDERS, OFFICERS AND DIRECTORS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12.01 No Recourse</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13 MISCELLANEOUS PROVISIONS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13.01 Effect on Successors and Assigns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13.02 Actions by Successor</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13.03 Surrender of Company Powers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13.04 Notices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13.05 Governing Law; Jury Trial Waiver</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13.06 Treatment of Securities as Debt</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13.07 Certificates and Opinions as to Conditions Precedent</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13.08 Payments on Business Days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13.09 Conflict with Trust Indenture Act</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13.10 Counterparts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13.11 Separability</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13.12 Compliance Certificates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13.13 U.S.A Patriot Act</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13.14 Force Majeure</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rHeight w:val="75" w:hRule="atLeast"/>
        </w:trPr>
        <w:tc>
          <w:tcPr>
            <w:tcW w:w="9354" w:type="dxa"/>
            <w:tcBorders/>
            <w:vAlign w:val="center"/>
          </w:tcPr>
          <w:p>
            <w:pPr>
              <w:pStyle w:val="TableContents"/>
              <w:bidi w:val="0"/>
              <w:spacing w:before="0" w:after="283"/>
              <w:jc w:val="left"/>
              <w:rPr>
                <w:sz w:val="4"/>
                <w:szCs w:val="4"/>
              </w:rPr>
            </w:pPr>
            <w:r>
              <w:rPr>
                <w:sz w:val="4"/>
                <w:szCs w:val="4"/>
              </w:rPr>
            </w:r>
          </w:p>
        </w:tc>
        <w:tc>
          <w:tcPr>
            <w:tcW w:w="851" w:type="dxa"/>
            <w:gridSpan w:val="4"/>
            <w:tcBorders/>
            <w:vAlign w:val="center"/>
          </w:tcPr>
          <w:p>
            <w:pPr>
              <w:pStyle w:val="TableContents"/>
              <w:bidi w:val="0"/>
              <w:spacing w:before="0" w:after="283"/>
              <w:jc w:val="left"/>
              <w:rPr>
                <w:sz w:val="4"/>
                <w:szCs w:val="4"/>
              </w:rPr>
            </w:pPr>
            <w:r>
              <w:rPr>
                <w:sz w:val="4"/>
                <w:szCs w:val="4"/>
              </w:rPr>
            </w:r>
          </w:p>
        </w:tc>
      </w:tr>
      <w:tr>
        <w:trPr/>
        <w:tc>
          <w:tcPr>
            <w:tcW w:w="935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13.15 Table of Contents; Headings</w:t>
            </w:r>
          </w:p>
        </w:tc>
        <w:tc>
          <w:tcPr>
            <w:tcW w:w="26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left"/>
        <w:rPr>
          <w:rFonts w:ascii="Times New Roman" w:hAnsi="Times New Roman"/>
          <w:sz w:val="20"/>
        </w:rPr>
      </w:pPr>
      <w:r>
        <w:rPr>
          <w:rFonts w:ascii="Times New Roman" w:hAnsi="Times New Roman"/>
          <w:b/>
          <w:sz w:val="20"/>
        </w:rPr>
        <w:t>INDENTURE</w:t>
      </w:r>
      <w:r>
        <w:rPr>
          <w:rFonts w:ascii="Times New Roman" w:hAnsi="Times New Roman"/>
          <w:sz w:val="20"/>
        </w:rPr>
        <w:t>, dated as of [], 20   , among Vor Biopharma Inc., a Delaware corporation (the “</w:t>
      </w:r>
      <w:r>
        <w:rPr>
          <w:rFonts w:ascii="Times New Roman" w:hAnsi="Times New Roman"/>
          <w:b/>
          <w:i/>
          <w:sz w:val="20"/>
        </w:rPr>
        <w:t>Company</w:t>
      </w:r>
      <w:r>
        <w:rPr>
          <w:rFonts w:ascii="Times New Roman" w:hAnsi="Times New Roman"/>
          <w:sz w:val="20"/>
        </w:rPr>
        <w:t>”), and [</w:t>
      </w:r>
      <w:r>
        <w:rPr>
          <w:rFonts w:ascii="Times New Roman" w:hAnsi="Times New Roman"/>
          <w:b/>
          <w:sz w:val="20"/>
        </w:rPr>
        <w:t>TRUSTEE</w:t>
      </w:r>
      <w:r>
        <w:rPr>
          <w:rFonts w:ascii="Times New Roman" w:hAnsi="Times New Roman"/>
          <w:sz w:val="20"/>
        </w:rPr>
        <w:t>], as trustee (the “</w:t>
      </w:r>
      <w:r>
        <w:rPr>
          <w:rFonts w:ascii="Times New Roman" w:hAnsi="Times New Roman"/>
          <w:b/>
          <w:i/>
          <w:sz w:val="20"/>
        </w:rPr>
        <w:t>Trustee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WHEREAS</w:t>
      </w:r>
      <w:r>
        <w:rPr>
          <w:rFonts w:ascii="Times New Roman" w:hAnsi="Times New Roman"/>
          <w:sz w:val="20"/>
        </w:rPr>
        <w:t>, for its lawful corporate purposes, the Company has duly authorized the execution and delivery of this Indenture to provide for the issuance of debt securities (hereinafter referred to as the “</w:t>
      </w:r>
      <w:r>
        <w:rPr>
          <w:rFonts w:ascii="Times New Roman" w:hAnsi="Times New Roman"/>
          <w:b/>
          <w:i/>
          <w:sz w:val="20"/>
        </w:rPr>
        <w:t>Securities</w:t>
      </w:r>
      <w:r>
        <w:rPr>
          <w:rFonts w:ascii="Times New Roman" w:hAnsi="Times New Roman"/>
          <w:sz w:val="20"/>
        </w:rPr>
        <w:t xml:space="preserve">”), in an unlimited aggregate principal amount to be issued from time to time in one or more series as in this Indenture provided, as registered Securities without coupons, to be authenticated by the certificate of the Trustee;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to provide the terms and conditions upon which the Securities are to be authenticated, issued and delivered, the Company has duly authorized the execution of this Indenture;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all things necessary to make this Indenture a valid agreement of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purchase of the Securities by the holders thereof, it is mutually covenanted and agreed as follows for the equal and ratable benefit of the holders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1.01 Definitions of Terms. </w:t>
      </w:r>
    </w:p>
    <w:p>
      <w:pPr>
        <w:pStyle w:val="TextBody"/>
        <w:bidi w:val="0"/>
        <w:spacing w:before="240" w:after="0"/>
        <w:jc w:val="left"/>
        <w:rPr>
          <w:rFonts w:ascii="Times New Roman" w:hAnsi="Times New Roman"/>
          <w:sz w:val="20"/>
        </w:rPr>
      </w:pPr>
      <w:r>
        <w:rPr>
          <w:rFonts w:ascii="Times New Roman" w:hAnsi="Times New Roman"/>
          <w:sz w:val="20"/>
        </w:rPr>
        <w:t xml:space="preserve">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 </w:t>
      </w:r>
    </w:p>
    <w:p>
      <w:pPr>
        <w:pStyle w:val="TextBody"/>
        <w:bidi w:val="0"/>
        <w:spacing w:before="240" w:after="0"/>
        <w:jc w:val="left"/>
        <w:rPr/>
      </w:pPr>
      <w:r>
        <w:rPr/>
        <w:t>“</w:t>
      </w:r>
      <w:r>
        <w:rPr>
          <w:rFonts w:ascii="Times New Roman" w:hAnsi="Times New Roman"/>
          <w:b/>
          <w:i/>
          <w:sz w:val="20"/>
        </w:rPr>
        <w:t>Authenticating Agent</w:t>
      </w:r>
      <w:r>
        <w:rPr>
          <w:rFonts w:ascii="Times New Roman" w:hAnsi="Times New Roman"/>
          <w:sz w:val="20"/>
        </w:rPr>
        <w:t xml:space="preserve">” means the Trustee or an authenticating agent with respect to all or any of the series of Securities appointed by the Trustee pursuant to Section 2.10. </w:t>
      </w:r>
    </w:p>
    <w:p>
      <w:pPr>
        <w:pStyle w:val="TextBody"/>
        <w:bidi w:val="0"/>
        <w:spacing w:before="240" w:after="0"/>
        <w:jc w:val="left"/>
        <w:rPr/>
      </w:pPr>
      <w:r>
        <w:rPr/>
        <w:t>“</w:t>
      </w:r>
      <w:r>
        <w:rPr>
          <w:rFonts w:ascii="Times New Roman" w:hAnsi="Times New Roman"/>
          <w:b/>
          <w:i/>
          <w:sz w:val="20"/>
        </w:rPr>
        <w:t>Bankruptcy Law</w:t>
      </w:r>
      <w:r>
        <w:rPr>
          <w:rFonts w:ascii="Times New Roman" w:hAnsi="Times New Roman"/>
          <w:sz w:val="20"/>
        </w:rPr>
        <w:t xml:space="preserve">” means Title 11, U.S. Code, or any similar federal or state law for the relief of debtors. </w:t>
      </w:r>
    </w:p>
    <w:p>
      <w:pPr>
        <w:pStyle w:val="TextBody"/>
        <w:bidi w:val="0"/>
        <w:spacing w:before="240" w:after="0"/>
        <w:jc w:val="left"/>
        <w:rPr/>
      </w:pPr>
      <w:r>
        <w:rPr/>
        <w:t>“</w:t>
      </w:r>
      <w:r>
        <w:rPr>
          <w:rFonts w:ascii="Times New Roman" w:hAnsi="Times New Roman"/>
          <w:b/>
          <w:i/>
          <w:sz w:val="20"/>
        </w:rPr>
        <w:t>Board of Directors</w:t>
      </w:r>
      <w:r>
        <w:rPr>
          <w:rFonts w:ascii="Times New Roman" w:hAnsi="Times New Roman"/>
          <w:sz w:val="20"/>
        </w:rPr>
        <w:t xml:space="preserve">” means the Board of Directors (or the functional equivalent thereof) of the Company or any duly authorized committee of such Board. </w:t>
      </w:r>
    </w:p>
    <w:p>
      <w:pPr>
        <w:pStyle w:val="TextBody"/>
        <w:bidi w:val="0"/>
        <w:spacing w:before="240" w:after="0"/>
        <w:jc w:val="left"/>
        <w:rPr/>
      </w:pPr>
      <w:r>
        <w:rPr/>
        <w:t>“</w:t>
      </w:r>
      <w:r>
        <w:rPr>
          <w:rFonts w:ascii="Times New Roman" w:hAnsi="Times New Roman"/>
          <w:b/>
          <w:i/>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(or duly authorized committee thereof) and to be in full force and effect on the date of such certification.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 </w:t>
      </w:r>
    </w:p>
    <w:p>
      <w:pPr>
        <w:pStyle w:val="TextBody"/>
        <w:bidi w:val="0"/>
        <w:spacing w:before="240" w:after="0"/>
        <w:jc w:val="left"/>
        <w:rPr/>
      </w:pPr>
      <w:r>
        <w:rPr/>
        <w:t>“</w:t>
      </w:r>
      <w:r>
        <w:rPr>
          <w:rFonts w:ascii="Times New Roman" w:hAnsi="Times New Roman"/>
          <w:b/>
          <w:i/>
          <w:sz w:val="20"/>
        </w:rPr>
        <w:t>Commission</w:t>
      </w:r>
      <w:r>
        <w:rPr>
          <w:rFonts w:ascii="Times New Roman" w:hAnsi="Times New Roman"/>
          <w:sz w:val="20"/>
        </w:rPr>
        <w:t xml:space="preserve">”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Company</w:t>
      </w:r>
      <w:r>
        <w:rPr>
          <w:rFonts w:ascii="Times New Roman" w:hAnsi="Times New Roman"/>
          <w:sz w:val="20"/>
        </w:rPr>
        <w:t xml:space="preserve">” means Vor Biopharma Inc., a corporation duly organized and existing under the laws of the State of Delaware, and, subject to the provisions of Article Ten, shall also include its successors and assigns. </w:t>
      </w:r>
    </w:p>
    <w:p>
      <w:pPr>
        <w:pStyle w:val="TextBody"/>
        <w:bidi w:val="0"/>
        <w:spacing w:before="240" w:after="0"/>
        <w:jc w:val="left"/>
        <w:rPr/>
      </w:pPr>
      <w:r>
        <w:rPr/>
        <w:t>“</w:t>
      </w:r>
      <w:r>
        <w:rPr>
          <w:rFonts w:ascii="Times New Roman" w:hAnsi="Times New Roman"/>
          <w:b/>
          <w:i/>
          <w:sz w:val="20"/>
        </w:rPr>
        <w:t>Corporate Trust Office</w:t>
      </w:r>
      <w:r>
        <w:rPr>
          <w:rFonts w:ascii="Times New Roman" w:hAnsi="Times New Roman"/>
          <w:sz w:val="20"/>
        </w:rPr>
        <w:t xml:space="preserve">” means the office of the Trustee at which, at any particular time, its corporate trust business shall be principally administered, which office at the date hereof is located           at          . </w:t>
      </w:r>
    </w:p>
    <w:p>
      <w:pPr>
        <w:pStyle w:val="TextBody"/>
        <w:bidi w:val="0"/>
        <w:spacing w:before="240" w:after="0"/>
        <w:jc w:val="left"/>
        <w:rPr/>
      </w:pPr>
      <w:r>
        <w:rPr/>
        <w:t>“</w:t>
      </w:r>
      <w:r>
        <w:rPr>
          <w:rFonts w:ascii="Times New Roman" w:hAnsi="Times New Roman"/>
          <w:b/>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pPr>
      <w:r>
        <w:rPr/>
        <w:t>“</w:t>
      </w:r>
      <w:r>
        <w:rPr>
          <w:rFonts w:ascii="Times New Roman" w:hAnsi="Times New Roman"/>
          <w:b/>
          <w:i/>
          <w:sz w:val="20"/>
        </w:rPr>
        <w:t>Defaulted Interest</w:t>
      </w:r>
      <w:r>
        <w:rPr>
          <w:rFonts w:ascii="Times New Roman" w:hAnsi="Times New Roman"/>
          <w:sz w:val="20"/>
        </w:rPr>
        <w:t xml:space="preserve">” has the meaning set forth in Section 2.03.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 </w:t>
      </w:r>
    </w:p>
    <w:p>
      <w:pPr>
        <w:pStyle w:val="TextBody"/>
        <w:bidi w:val="0"/>
        <w:spacing w:before="240" w:after="0"/>
        <w:jc w:val="left"/>
        <w:rPr/>
      </w:pPr>
      <w:r>
        <w:rPr/>
        <w:t>“</w:t>
      </w:r>
      <w:r>
        <w:rPr>
          <w:rFonts w:ascii="Times New Roman" w:hAnsi="Times New Roman"/>
          <w:b/>
          <w:i/>
          <w:sz w:val="20"/>
        </w:rPr>
        <w:t>Event of Default</w:t>
      </w:r>
      <w:r>
        <w:rPr>
          <w:rFonts w:ascii="Times New Roman" w:hAnsi="Times New Roman"/>
          <w:sz w:val="20"/>
        </w:rPr>
        <w:t xml:space="preserve">” means, with respect to Securities of a particular series, any event specified in Section 6.01, continued for the period of time, if any, therein designated. </w:t>
      </w:r>
    </w:p>
    <w:p>
      <w:pPr>
        <w:pStyle w:val="TextBody"/>
        <w:bidi w:val="0"/>
        <w:spacing w:before="240" w:after="0"/>
        <w:jc w:val="left"/>
        <w:rPr/>
      </w:pPr>
      <w:r>
        <w:rPr/>
        <w:t>“</w:t>
      </w:r>
      <w:r>
        <w:rPr>
          <w:rFonts w:ascii="Times New Roman" w:hAnsi="Times New Roman"/>
          <w:b/>
          <w:i/>
          <w:sz w:val="20"/>
        </w:rPr>
        <w:t>Exchange Act</w:t>
      </w:r>
      <w:r>
        <w:rPr>
          <w:rFonts w:ascii="Times New Roman" w:hAnsi="Times New Roman"/>
          <w:sz w:val="20"/>
        </w:rPr>
        <w:t xml:space="preserve">” means the United States Securities and Exchange Act of 1934, as amended, and the rules and regulations promulgated by the Commission thereunder.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i/>
          <w:sz w:val="20"/>
        </w:rPr>
        <w:t>given</w:t>
      </w:r>
      <w:r>
        <w:rPr>
          <w:rFonts w:ascii="Times New Roman" w:hAnsi="Times New Roman"/>
          <w:sz w:val="20"/>
        </w:rPr>
        <w:t>”, “</w:t>
      </w:r>
      <w:r>
        <w:rPr>
          <w:rFonts w:ascii="Times New Roman" w:hAnsi="Times New Roman"/>
          <w:b/>
          <w:i/>
          <w:sz w:val="20"/>
        </w:rPr>
        <w:t>mailed</w:t>
      </w:r>
      <w:r>
        <w:rPr>
          <w:rFonts w:ascii="Times New Roman" w:hAnsi="Times New Roman"/>
          <w:sz w:val="20"/>
        </w:rPr>
        <w:t>”, “</w:t>
      </w:r>
      <w:r>
        <w:rPr>
          <w:rFonts w:ascii="Times New Roman" w:hAnsi="Times New Roman"/>
          <w:b/>
          <w:i/>
          <w:sz w:val="20"/>
        </w:rPr>
        <w:t>notify</w:t>
      </w:r>
      <w:r>
        <w:rPr>
          <w:rFonts w:ascii="Times New Roman" w:hAnsi="Times New Roman"/>
          <w:sz w:val="20"/>
        </w:rPr>
        <w:t>” or “</w:t>
      </w:r>
      <w:r>
        <w:rPr>
          <w:rFonts w:ascii="Times New Roman" w:hAnsi="Times New Roman"/>
          <w:b/>
          <w:i/>
          <w:sz w:val="20"/>
        </w:rPr>
        <w:t>sent</w:t>
      </w:r>
      <w:r>
        <w:rPr>
          <w:rFonts w:ascii="Times New Roman" w:hAnsi="Times New Roman"/>
          <w:sz w:val="20"/>
        </w:rPr>
        <w:t xml:space="preserve">”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 </w:t>
      </w:r>
    </w:p>
    <w:p>
      <w:pPr>
        <w:pStyle w:val="TextBody"/>
        <w:bidi w:val="0"/>
        <w:spacing w:before="240" w:after="0"/>
        <w:jc w:val="left"/>
        <w:rPr/>
      </w:pPr>
      <w:r>
        <w:rPr/>
        <w:t>“</w:t>
      </w:r>
      <w:r>
        <w:rPr>
          <w:rFonts w:ascii="Times New Roman" w:hAnsi="Times New Roman"/>
          <w:b/>
          <w:i/>
          <w:sz w:val="20"/>
        </w:rPr>
        <w:t>Global Security</w:t>
      </w:r>
      <w:r>
        <w:rPr>
          <w:rFonts w:ascii="Times New Roman" w:hAnsi="Times New Roman"/>
          <w:sz w:val="20"/>
        </w:rPr>
        <w:t xml:space="preserve">”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 </w:t>
      </w:r>
    </w:p>
    <w:p>
      <w:pPr>
        <w:pStyle w:val="TextBody"/>
        <w:bidi w:val="0"/>
        <w:spacing w:before="240" w:after="0"/>
        <w:jc w:val="left"/>
        <w:rPr/>
      </w:pPr>
      <w:r>
        <w:rPr/>
        <w:t>“</w:t>
      </w:r>
      <w:r>
        <w:rPr>
          <w:rFonts w:ascii="Times New Roman" w:hAnsi="Times New Roman"/>
          <w:b/>
          <w:i/>
          <w:sz w:val="20"/>
        </w:rPr>
        <w:t>Governmental Obligations</w:t>
      </w:r>
      <w:r>
        <w:rPr>
          <w:rFonts w:ascii="Times New Roman" w:hAnsi="Times New Roman"/>
          <w:sz w:val="20"/>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bidi w:val="0"/>
        <w:spacing w:before="240" w:after="0"/>
        <w:jc w:val="left"/>
        <w:rPr/>
      </w:pPr>
      <w:r>
        <w:rPr/>
        <w:t>“</w:t>
      </w:r>
      <w:r>
        <w:rPr>
          <w:rFonts w:ascii="Times New Roman" w:hAnsi="Times New Roman"/>
          <w:b/>
          <w:i/>
          <w:sz w:val="20"/>
        </w:rPr>
        <w:t>herein</w:t>
      </w:r>
      <w:r>
        <w:rPr>
          <w:rFonts w:ascii="Times New Roman" w:hAnsi="Times New Roman"/>
          <w:sz w:val="20"/>
        </w:rPr>
        <w:t>”, “</w:t>
      </w:r>
      <w:r>
        <w:rPr>
          <w:rFonts w:ascii="Times New Roman" w:hAnsi="Times New Roman"/>
          <w:b/>
          <w:i/>
          <w:sz w:val="20"/>
        </w:rPr>
        <w:t>hereof</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other words of similar import, refer to this Indenture as a whole and not to any particular Article, Section or other subdivision.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Interest Payment Date</w:t>
      </w:r>
      <w:r>
        <w:rPr>
          <w:rFonts w:ascii="Times New Roman" w:hAnsi="Times New Roman"/>
          <w:sz w:val="20"/>
        </w:rPr>
        <w:t xml:space="preserv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 </w:t>
      </w:r>
    </w:p>
    <w:p>
      <w:pPr>
        <w:pStyle w:val="TextBody"/>
        <w:bidi w:val="0"/>
        <w:spacing w:before="240" w:after="0"/>
        <w:jc w:val="left"/>
        <w:rPr/>
      </w:pPr>
      <w:r>
        <w:rPr/>
        <w:t>“</w:t>
      </w:r>
      <w:r>
        <w:rPr>
          <w:rFonts w:ascii="Times New Roman" w:hAnsi="Times New Roman"/>
          <w:b/>
          <w:i/>
          <w:sz w:val="20"/>
        </w:rPr>
        <w:t>Officer</w:t>
      </w:r>
      <w:r>
        <w:rPr>
          <w:rFonts w:ascii="Times New Roman" w:hAnsi="Times New Roman"/>
          <w:sz w:val="20"/>
        </w:rPr>
        <w:t xml:space="preserve">”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 </w:t>
      </w:r>
    </w:p>
    <w:p>
      <w:pPr>
        <w:pStyle w:val="TextBody"/>
        <w:bidi w:val="0"/>
        <w:spacing w:before="240" w:after="0"/>
        <w:jc w:val="left"/>
        <w:rPr/>
      </w:pPr>
      <w:r>
        <w:rPr/>
        <w:t>“</w:t>
      </w:r>
      <w:r>
        <w:rPr>
          <w:rFonts w:ascii="Times New Roman" w:hAnsi="Times New Roman"/>
          <w:b/>
          <w:i/>
          <w:sz w:val="20"/>
        </w:rPr>
        <w:t>Officer’s Certificate</w:t>
      </w:r>
      <w:r>
        <w:rPr>
          <w:rFonts w:ascii="Times New Roman" w:hAnsi="Times New Roman"/>
          <w:sz w:val="20"/>
        </w:rPr>
        <w:t xml:space="preserve">” means a certificate signed by any Officer. Each such certificate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Opinion of Counsel</w:t>
      </w:r>
      <w:r>
        <w:rPr>
          <w:rFonts w:ascii="Times New Roman" w:hAnsi="Times New Roman"/>
          <w:sz w:val="20"/>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 </w:t>
      </w:r>
    </w:p>
    <w:p>
      <w:pPr>
        <w:pStyle w:val="TextBody"/>
        <w:bidi w:val="0"/>
        <w:spacing w:before="240" w:after="0"/>
        <w:jc w:val="left"/>
        <w:rPr/>
      </w:pPr>
      <w:r>
        <w:rPr/>
        <w:t>“</w:t>
      </w:r>
      <w:r>
        <w:rPr>
          <w:rFonts w:ascii="Times New Roman" w:hAnsi="Times New Roman"/>
          <w:b/>
          <w:i/>
          <w:sz w:val="20"/>
        </w:rPr>
        <w:t>Outstanding</w:t>
      </w:r>
      <w:r>
        <w:rPr>
          <w:rFonts w:ascii="Times New Roman" w:hAnsi="Times New Roman"/>
          <w:sz w:val="20"/>
        </w:rPr>
        <w:t xml:space="preserve">”,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any individual, corporation, partnership, joint venture, joint-stock company, limited liability company, association, trust, unincorporated organization, any other entity or organization, including a government or political subdivision or an agency or instrumentality thereof. </w:t>
      </w:r>
    </w:p>
    <w:p>
      <w:pPr>
        <w:pStyle w:val="TextBody"/>
        <w:bidi w:val="0"/>
        <w:spacing w:before="240" w:after="0"/>
        <w:jc w:val="left"/>
        <w:rPr/>
      </w:pPr>
      <w:r>
        <w:rPr/>
        <w:t>“</w:t>
      </w:r>
      <w:r>
        <w:rPr>
          <w:rFonts w:ascii="Times New Roman" w:hAnsi="Times New Roman"/>
          <w:b/>
          <w:i/>
          <w:sz w:val="20"/>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 </w:t>
      </w:r>
    </w:p>
    <w:p>
      <w:pPr>
        <w:pStyle w:val="TextBody"/>
        <w:bidi w:val="0"/>
        <w:spacing w:before="240" w:after="0"/>
        <w:jc w:val="left"/>
        <w:rPr/>
      </w:pPr>
      <w:r>
        <w:rPr/>
        <w:t>“</w:t>
      </w:r>
      <w:r>
        <w:rPr>
          <w:rFonts w:ascii="Times New Roman" w:hAnsi="Times New Roman"/>
          <w:b/>
          <w:i/>
          <w:sz w:val="20"/>
        </w:rPr>
        <w:t>Responsible Officer</w:t>
      </w:r>
      <w:r>
        <w:rPr>
          <w:rFonts w:ascii="Times New Roman" w:hAnsi="Times New Roman"/>
          <w:sz w:val="20"/>
        </w:rPr>
        <w:t xml:space="preserve">”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 </w:t>
      </w:r>
    </w:p>
    <w:p>
      <w:pPr>
        <w:pStyle w:val="TextBody"/>
        <w:bidi w:val="0"/>
        <w:spacing w:before="240" w:after="0"/>
        <w:jc w:val="left"/>
        <w:rPr/>
      </w:pPr>
      <w:r>
        <w:rPr/>
        <w:t>“</w:t>
      </w:r>
      <w:r>
        <w:rPr>
          <w:rFonts w:ascii="Times New Roman" w:hAnsi="Times New Roman"/>
          <w:b/>
          <w:i/>
          <w:sz w:val="20"/>
        </w:rPr>
        <w:t>Securities</w:t>
      </w:r>
      <w:r>
        <w:rPr>
          <w:rFonts w:ascii="Times New Roman" w:hAnsi="Times New Roman"/>
          <w:sz w:val="20"/>
        </w:rPr>
        <w:t xml:space="preserve">” has the meaning stated in the first recital of this Indenture and more particularly means any Securities authenticated and delivered under this Indenture. </w:t>
      </w:r>
    </w:p>
    <w:p>
      <w:pPr>
        <w:pStyle w:val="TextBody"/>
        <w:bidi w:val="0"/>
        <w:spacing w:before="240" w:after="0"/>
        <w:jc w:val="left"/>
        <w:rPr/>
      </w:pPr>
      <w:r>
        <w:rPr/>
        <w:t>“</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Securityholder</w:t>
      </w:r>
      <w:r>
        <w:rPr>
          <w:rFonts w:ascii="Times New Roman" w:hAnsi="Times New Roman"/>
          <w:sz w:val="20"/>
        </w:rPr>
        <w:t>”, “</w:t>
      </w:r>
      <w:r>
        <w:rPr>
          <w:rFonts w:ascii="Times New Roman" w:hAnsi="Times New Roman"/>
          <w:b/>
          <w:i/>
          <w:sz w:val="20"/>
        </w:rPr>
        <w:t>holder of Securities</w:t>
      </w:r>
      <w:r>
        <w:rPr>
          <w:rFonts w:ascii="Times New Roman" w:hAnsi="Times New Roman"/>
          <w:sz w:val="20"/>
        </w:rPr>
        <w:t>”, “</w:t>
      </w:r>
      <w:r>
        <w:rPr>
          <w:rFonts w:ascii="Times New Roman" w:hAnsi="Times New Roman"/>
          <w:b/>
          <w:i/>
          <w:sz w:val="20"/>
        </w:rPr>
        <w:t>registered holder</w:t>
      </w:r>
      <w:r>
        <w:rPr>
          <w:rFonts w:ascii="Times New Roman" w:hAnsi="Times New Roman"/>
          <w:sz w:val="20"/>
        </w:rPr>
        <w:t xml:space="preserve">”, or other similar term, means the Person or Persons in whose name or names a particular Security is registered on the Security Register kept for that purpose in accordance with the terms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Security Register</w:t>
      </w:r>
      <w:r>
        <w:rPr>
          <w:rFonts w:ascii="Times New Roman" w:hAnsi="Times New Roman"/>
          <w:sz w:val="20"/>
        </w:rPr>
        <w:t>” and “</w:t>
      </w:r>
      <w:r>
        <w:rPr>
          <w:rFonts w:ascii="Times New Roman" w:hAnsi="Times New Roman"/>
          <w:b/>
          <w:i/>
          <w:sz w:val="20"/>
        </w:rPr>
        <w:t>Security Registrar</w:t>
      </w:r>
      <w:r>
        <w:rPr>
          <w:rFonts w:ascii="Times New Roman" w:hAnsi="Times New Roman"/>
          <w:sz w:val="20"/>
        </w:rPr>
        <w:t xml:space="preserve">” shall have the meanings as set forth in Section 2.05.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b/>
          <w:i/>
          <w:sz w:val="20"/>
        </w:rPr>
        <w:t>Trustee</w:t>
      </w:r>
      <w:r>
        <w:rPr>
          <w:rFonts w:ascii="Times New Roman" w:hAnsi="Times New Roman"/>
          <w:sz w:val="20"/>
        </w:rPr>
        <w:t xml:space="preserve">”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 </w:t>
      </w:r>
    </w:p>
    <w:p>
      <w:pPr>
        <w:pStyle w:val="TextBody"/>
        <w:bidi w:val="0"/>
        <w:spacing w:before="240" w:after="0"/>
        <w:jc w:val="left"/>
        <w:rPr/>
      </w:pPr>
      <w:r>
        <w:rPr/>
        <w:t>“</w:t>
      </w:r>
      <w:r>
        <w:rPr>
          <w:rFonts w:ascii="Times New Roman" w:hAnsi="Times New Roman"/>
          <w:b/>
          <w:i/>
          <w:sz w:val="20"/>
        </w:rPr>
        <w:t>Trust Indenture Act</w:t>
      </w:r>
      <w:r>
        <w:rPr>
          <w:rFonts w:ascii="Times New Roman" w:hAnsi="Times New Roman"/>
          <w:sz w:val="20"/>
        </w:rPr>
        <w:t xml:space="preserve">” means the Trust Indenture Act of 1939, as amended. </w:t>
      </w:r>
    </w:p>
    <w:p>
      <w:pPr>
        <w:pStyle w:val="TextBody"/>
        <w:bidi w:val="0"/>
        <w:spacing w:before="240" w:after="0"/>
        <w:jc w:val="left"/>
        <w:rPr/>
      </w:pPr>
      <w:r>
        <w:rPr/>
        <w:t>“</w:t>
      </w:r>
      <w:r>
        <w:rPr>
          <w:rFonts w:ascii="Times New Roman" w:hAnsi="Times New Roman"/>
          <w:b/>
          <w:i/>
          <w:sz w:val="20"/>
        </w:rPr>
        <w:t>U.S.A. Patriot Act”</w:t>
      </w:r>
      <w:r>
        <w:rPr>
          <w:rFonts w:ascii="Times New Roman" w:hAnsi="Times New Roman"/>
          <w:sz w:val="20"/>
        </w:rPr>
        <w:t xml:space="preserve"> means the Uniting and Strengthening America by Providing Appropriate Tools Required to Intercept and Obstruct Terrorism Act of 2001, Pub. L. 107-56, as amended and signed into law October 26, 2001.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120" w:after="0"/>
        <w:jc w:val="center"/>
        <w:rPr>
          <w:rFonts w:ascii="Times New Roman" w:hAnsi="Times New Roman"/>
          <w:b/>
          <w:sz w:val="20"/>
        </w:rPr>
      </w:pPr>
      <w:r>
        <w:rPr>
          <w:rFonts w:ascii="Times New Roman" w:hAnsi="Times New Roman"/>
          <w:b/>
          <w:sz w:val="20"/>
        </w:rPr>
        <w:t xml:space="preserve">ISSUE, DESCRIPTION, TERMS, EXECUTION, REGISTRATION AND EXCHANGE OF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2.01 Designation and Terms of Securities.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title of the Securities of the series (which shall distinguish the Securities of that series from all other Securities);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maturity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form of the Securities of the series including the form of the certificate of authentication for such series;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the applicability of any guarantees;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whether or not the Securities will be secured or unsecured, and the terms of any secured debt;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whether the Securities rank as senior debt, senior subordinated debt, subordinated debt or any combination thereof, and the terms of any subordination;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the Company’s right, if any, to defer the payment of interest and the maximum length of any such deferral period;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the denominations in which the Securities of the series shall be issuable, if other than denominations of one thousand U.S. dollars ($1,000) or any integral multiple thereof;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if other than the full principal amount thereof, the portion of the principal amount of Securities of the series which shall be payable upon declaration of acceleration of the maturity thereof pursuant to Section 6.01;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additions to or changes in the covenants applicable to the series of Securities being issued, including, among others, the consolidation, merger or sale covenant;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additions to or changes in the Events of Default with respect to the Securities and any change in the right of the Trustee or the Securityholders to declare the principal, premium, if any, and interest, if any, with respect to such Securities to be due and payable; </w:t>
      </w:r>
    </w:p>
    <w:p>
      <w:pPr>
        <w:pStyle w:val="TextBody"/>
        <w:bidi w:val="0"/>
        <w:spacing w:before="240" w:after="0"/>
        <w:jc w:val="left"/>
        <w:rPr>
          <w:rFonts w:ascii="Times New Roman" w:hAnsi="Times New Roman"/>
          <w:sz w:val="20"/>
        </w:rPr>
      </w:pPr>
      <w:r>
        <w:rPr>
          <w:rFonts w:ascii="Times New Roman" w:hAnsi="Times New Roman"/>
          <w:b/>
          <w:sz w:val="20"/>
        </w:rPr>
        <w:t>(20)</w:t>
      </w:r>
      <w:r>
        <w:rPr>
          <w:rFonts w:ascii="Times New Roman" w:hAnsi="Times New Roman"/>
          <w:sz w:val="20"/>
        </w:rPr>
        <w:t xml:space="preserve"> additions to or changes in or deletions of the provisions relating to covenant defeasance and legal defeasance;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additions to or changes in the provisions relating to satisfaction and discharge of this Indenture;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additions to or changes in the provisions relating to the modification of this Indenture both with and without the consent of Securityholders of Securities issued under this Indenture;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the currency of payment of Securities if other than U.S. dollars and the manner of determining the equivalent amount in U.S. dollars;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whether interest will be payable in cash or additional Securities at the Company’s or the Securityholders’ option and the terms and conditions upon which the election may be made;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the terms and conditions, if any, upon which the Company shall pay amounts in addition to the stated interest, premium, if any and principal amounts of the Securities of the series to any Securityholder that is not a “United States person” for federal tax purposes; </w:t>
      </w:r>
    </w:p>
    <w:p>
      <w:pPr>
        <w:pStyle w:val="TextBody"/>
        <w:bidi w:val="0"/>
        <w:spacing w:before="24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any restrictions on transfer, sale or assignment of the Securities of the series; and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any other specific terms, preferences, rights or limitations of, or restrictions on, the Securities, any other additions or changes in the provisions of this Indenture, and any terms that may be required by us or advisable under applicable laws or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may otherwise be provided in or pursuant to any such Board Resolution or in any indentures supplemental hereto.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2.02 Form of Securities and Trustee’s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2.03 Denominations: Provisions for Payment.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 </w:t>
      </w:r>
    </w:p>
    <w:p>
      <w:pPr>
        <w:pStyle w:val="TextBody"/>
        <w:bidi w:val="0"/>
        <w:spacing w:before="240" w:after="0"/>
        <w:jc w:val="left"/>
        <w:rPr>
          <w:rFonts w:ascii="Times New Roman" w:hAnsi="Times New Roman"/>
          <w:sz w:val="20"/>
        </w:rPr>
      </w:pPr>
      <w:r>
        <w:rPr>
          <w:rFonts w:ascii="Times New Roman" w:hAnsi="Times New Roman"/>
          <w:sz w:val="20"/>
        </w:rPr>
        <w:t>Any interest on any Security that is payable, but is not punctually paid or duly provided for, on any Interest Payment Date for Securities of the same series (herein called “</w:t>
      </w:r>
      <w:r>
        <w:rPr>
          <w:rFonts w:ascii="Times New Roman" w:hAnsi="Times New Roman"/>
          <w:b/>
          <w:i/>
          <w:sz w:val="20"/>
        </w:rPr>
        <w:t>Defaulted Interest</w:t>
      </w:r>
      <w:r>
        <w:rPr>
          <w:rFonts w:ascii="Times New Roman" w:hAnsi="Times New Roman"/>
          <w:sz w:val="20"/>
        </w:rPr>
        <w:t xml:space="preserve">”) shall forthwith cease to be payable to the registered holder on the relevant regular record date by virtue of having been such holder; and such Defaulted Interest shall be paid by the Company, at its election, as provided in clause (1) or clause (2) below: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2.04 Execution and Authentications.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signed on behalf of the Company by one of its Officers. Signatures may be in the form of a manual or facsimile signature.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2.05 Registration of Transfer and Exchange.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keep, or cause to be kept, at its office or agency designated for such purpose a register or registers (herein referred to as the “</w:t>
      </w:r>
      <w:r>
        <w:rPr>
          <w:rFonts w:ascii="Times New Roman" w:hAnsi="Times New Roman"/>
          <w:b/>
          <w:i/>
          <w:sz w:val="20"/>
        </w:rPr>
        <w:t>Security Register</w:t>
      </w:r>
      <w:r>
        <w:rPr>
          <w:rFonts w:ascii="Times New Roman" w:hAnsi="Times New Roman"/>
          <w:sz w:val="20"/>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Times New Roman" w:hAnsi="Times New Roman"/>
          <w:b/>
          <w:i/>
          <w:sz w:val="20"/>
        </w:rPr>
        <w:t>Security Registrar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initially appoints the Trustee as Security Registrar for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2.06 Temporary Securities.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2.07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2.08 Cancellation.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2.09 Benefits of Indenture.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2.10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2.11 Global Securities.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2.12 CUSIP Numbers.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AND SINKING FUND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3.01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redeem the Securities of any series issued hereunder on and after the dates and in accordance with the terms established for such series pursuant to Section 2.01 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3.02 Notice of Redemption.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 </w:t>
      </w:r>
    </w:p>
    <w:p>
      <w:pPr>
        <w:pStyle w:val="TextBody"/>
        <w:bidi w:val="0"/>
        <w:spacing w:before="240" w:after="0"/>
        <w:jc w:val="left"/>
        <w:rPr>
          <w:rFonts w:ascii="Times New Roman" w:hAnsi="Times New Roman"/>
          <w:sz w:val="20"/>
        </w:rPr>
      </w:pPr>
      <w:r>
        <w:rPr>
          <w:rFonts w:ascii="Times New Roman" w:hAnsi="Times New Roman"/>
          <w:sz w:val="20"/>
        </w:rPr>
        <w:t xml:space="preserve">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 </w:t>
      </w:r>
    </w:p>
    <w:p>
      <w:pPr>
        <w:pStyle w:val="TextBody"/>
        <w:bidi w:val="0"/>
        <w:spacing w:before="240" w:after="0"/>
        <w:jc w:val="left"/>
        <w:rPr>
          <w:rFonts w:ascii="Times New Roman" w:hAnsi="Times New Roman"/>
          <w:sz w:val="20"/>
        </w:rPr>
      </w:pPr>
      <w:r>
        <w:rPr>
          <w:rFonts w:ascii="Times New Roman" w:hAnsi="Times New Roman"/>
          <w:sz w:val="20"/>
        </w:rPr>
        <w:t xml:space="preserve">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3.03 Payment Upon Redemption.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3.04 Sinking Fund.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Sections 3.04, 3.05 and 3.06 shall be applicable to any sinking fund for the retirement of Securities of a series, except as otherwise specified as contemplated by Section 2.01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3.05 Satisfaction of Sinking Fund Payments with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3.06 Redemption of Securities for Sinking Fund.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4.01 Payment of Principal, Premium and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4.02 Maintenance of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4.03 Paying Agents.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it will give the Trustee notice of any failure by the Company (or by any other obligor of such Securities) to make any payment of the principal of (and premium, if any) or interest on the Securities of that series when the same shall be due and payable;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it will, at any time during the continuance of any failure referred to in the preceding paragraph (a)(2) above, upon the written request of the Trustee, forthwith pay to the Trustee all sums so held in trust by such paying agent; and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it will perform all other duties of paying agent as set forth in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4.04 Appointment to Fill Vacancy in Office of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whenever necessary to avoid or fill a vacancy in the office of Trustee, will appoint, in the manner provided in Section 7.10, a Trustee, so that there shall at all times be a Trustee 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SECURITYHOLDERS’ LISTS AND REPORTS BY THE COMPANY AND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5.01 Company to Furnish Trustee Names and Addresses of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5.02 Preservation Of Information; Communications With Securityholders.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may destroy any list furnished to it as provided in Section 5.01 upon receipt of a new list so furnished.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5.03 Reports by the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5.04 Reports by the Trustee.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required by Section 313(a) of the Trust Indenture Act, the Trustee, within sixty (60) days after each May 1, shall send to the Securityholders a brief report dated as of such May 1, which complies with Section 313(a) of the Trust Indenture Act.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shall comply with Section 313(b) and 313(c) of the Trust Indenture Act.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OF THE TRUSTEE AND SECURITYHOLDERS ON EVENT OF DEFAULT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6.01 Events of Default.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Whenever used herein with respect to Securities of a particular series, “</w:t>
      </w:r>
      <w:r>
        <w:rPr>
          <w:rFonts w:ascii="Times New Roman" w:hAnsi="Times New Roman"/>
          <w:b/>
          <w:i/>
          <w:sz w:val="20"/>
        </w:rPr>
        <w:t>Event of Default</w:t>
      </w:r>
      <w:r>
        <w:rPr>
          <w:rFonts w:ascii="Times New Roman" w:hAnsi="Times New Roman"/>
          <w:sz w:val="20"/>
        </w:rPr>
        <w:t xml:space="preserve">” means any one or more of the following events that has occurred and is continuing: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and annulment shall extend to or shall affect any subsequent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6.02 Collection of Indebtedness and Suits for Enforcement by Trustee.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6.03 Application of Moneys Collected. </w:t>
      </w:r>
    </w:p>
    <w:p>
      <w:pPr>
        <w:pStyle w:val="TextBody"/>
        <w:bidi w:val="0"/>
        <w:spacing w:before="240" w:after="0"/>
        <w:jc w:val="left"/>
        <w:rPr>
          <w:rFonts w:ascii="Times New Roman" w:hAnsi="Times New Roman"/>
          <w:sz w:val="20"/>
        </w:rPr>
      </w:pPr>
      <w:r>
        <w:rPr>
          <w:rFonts w:ascii="Times New Roman" w:hAnsi="Times New Roman"/>
          <w:sz w:val="20"/>
        </w:rPr>
        <w:t xml:space="preserve">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costs and expenses of collection and of all amounts payable to the Trustee under Section 7.06;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remainder, if any, to the Company or any other Person lawfully entitled thereto.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6.04 Limitation on Suits.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6.05 Rights and Remedies Cumulative; Delay or Omission Not Waiver.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6.06 Control by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6.07 Undertaking to Pay Costs.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7.01 Certain Duties and Responsibilities of Trustee.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provision of this Indenture shall be construed to relieve the Trustee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prior to the occurrence of an Event of Default with respect to the Securities of a series and after the curing or waiving of all such Events of Default with respect to that series that may have occurred: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not be liable to any Securityholder or to any other Person for any error of judgment made in good faith by a Responsible Officer or Responsible Officers of the Trustee, unless it shall be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The Trustee shall not be required to give any bond or surety in respect of the performance of its powers or duties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The permissive right of the Trustee to do things enumerated in this Indenture shall not be construed as a duty of the Trustee; and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No Trustee shall have any duty or responsibility for any act or omission of any other Trustee appointed with respect to a series of Securities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7.02 Certain Rights of Trustee.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7.03 Trustee Not Responsible for Recitals or Issuance or Securities.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Trustee makes no representations as to the validity or sufficiency of this Indenture or of the Securities.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7.04 May Hold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or any paying agent or Security Registrar, in its individual or any other capacity, may become the owner or pledgee of Securities with the same rights it would have if it were not Trustee, paying agent or Security Registrar.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7.05 Moneys Held in Trust.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7.06 Compensation and Reimbursement.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Company need not reimburse any expense or indemnify against any loss or liability incurred by the Trustee or by any officer, director, employee, shareholder or agent of the Trustee through negligence or bad faith.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7.07 Reliance on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7.08 Disqualification; Conflicting Interests.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any “conflicting interest” within the meaning of Section 310(b) of the Trust Indenture Act, the Trustee and the Company shall in all respects comply with the provisions of Section 310(b) of the Trust Indenture Act.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7.09 Corporate Trustee Required; Eligibility.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 </w:t>
      </w:r>
    </w:p>
    <w:p>
      <w:pPr>
        <w:pStyle w:val="TextBody"/>
        <w:bidi w:val="0"/>
        <w:spacing w:before="240" w:after="0"/>
        <w:jc w:val="left"/>
        <w:rPr>
          <w:rFonts w:ascii="Times New Roman" w:hAnsi="Times New Roman"/>
          <w:sz w:val="20"/>
        </w:rPr>
      </w:pPr>
      <w:r>
        <w:rPr>
          <w:rFonts w:ascii="Times New Roman" w:hAnsi="Times New Roman"/>
          <w:sz w:val="20"/>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7.10 Resignation and Removal; Appointment of Successor.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at any time any one of the following shall occur: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Trustee shall fail to comply with the provisions of Section 7.08 after written request therefor by the Company or by any Securityholder who has been a bona fide holder of a Security or Securities for at least six months; or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Trustee shall cease to be eligible in accordance with the provisions of Section 7.09 and shall fail to resign after written request therefor by the Company or by any such Securityholder; or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successor trustee appointed pursuant to this Section may be appointed with respect to the Securities of one or more series or all of such series, and at any time there shall be only one Trustee with respect to the Securities of any particular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7.11 Acceptance of Appointment By Successor.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Upon request of any such successor trustee, the Company shall execute any and all instruments for more fully and certainly vesting in and confirming to such successor trustee all such rights, powers and trusts referred to in paragraph (a) or (b) of this Section,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7.12 Merger, Conversion, Consolidation or Succession to Business.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7.13 Preferential Collection of Claims Against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7.14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hAnsi="Times New Roman"/>
          <w:i/>
          <w:sz w:val="20"/>
        </w:rPr>
        <w:t>provided, however</w:t>
      </w:r>
      <w:r>
        <w:rPr>
          <w:rFonts w:ascii="Times New Roman" w:hAnsi="Times New Roman"/>
          <w:sz w:val="20"/>
        </w:rPr>
        <w:t xml:space="preserve">,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120" w:after="0"/>
        <w:jc w:val="center"/>
        <w:rPr>
          <w:rFonts w:ascii="Times New Roman" w:hAnsi="Times New Roman"/>
          <w:b/>
          <w:sz w:val="20"/>
        </w:rPr>
      </w:pPr>
      <w:r>
        <w:rPr>
          <w:rFonts w:ascii="Times New Roman" w:hAnsi="Times New Roman"/>
          <w:b/>
          <w:sz w:val="20"/>
        </w:rPr>
        <w:t xml:space="preserve">CONCERNING THE SECURITYHOLDERS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8.01 Evidence of Action by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8.02 Proof of Execution by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fact and date of the execution by any such Person of any instrument may be proved in any reasonable manner acceptable to the Trustee.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ownership of Securities shall be proved by the Security Register of such Securities or by a certificate of the Security Registrar thereof.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require such additional proof of any matter referred to in this Section as it shall deem necessary.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8.03 Who May be Deemed Owners. </w:t>
      </w:r>
    </w:p>
    <w:p>
      <w:pPr>
        <w:pStyle w:val="TextBody"/>
        <w:bidi w:val="0"/>
        <w:spacing w:before="240" w:after="0"/>
        <w:jc w:val="left"/>
        <w:rPr>
          <w:rFonts w:ascii="Times New Roman" w:hAnsi="Times New Roman"/>
          <w:sz w:val="20"/>
        </w:rPr>
      </w:pPr>
      <w:r>
        <w:rPr>
          <w:rFonts w:ascii="Times New Roman" w:hAnsi="Times New Roman"/>
          <w:sz w:val="20"/>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8.04 Certain Securities Owned by Company Disregarded.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8.05 Actions Binding on Future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9.01 Supplemental Indentures Without the Consent of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cure any ambiguity, defect, or inconsistency herein or in the Securities of any series;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comply with Article Ten;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to add to, delete from, or revise the conditions, limitations, and restrictions on the authorized amount, terms, or purposes of issue, authentication, and delivery of Securities, as herein set forth;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to evidence and provide for the acceptance of appointment hereunder by a successor trustee; or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comply with any requirements of the Commission or any successor in connection with the qualification of this Indenture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supplemental indenture authorized by the provisions of this Section may be executed by the Company and the Trustee without the consent of the holders of any of the Securities at the time Outstanding, notwithstanding any of the provisions of Section 9.02.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9.02 Supplemental Indentures With Consent of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Securityholders of any series affected thereby under this Section to approve the particular form of any proposed supplemental indenture, but it shall be sufficient if such consent shall approve the substance thereof.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9.03 Effect of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9.04 Securities Affected by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 </w:t>
      </w:r>
    </w:p>
    <w:p>
      <w:pPr>
        <w:pStyle w:val="TextBody"/>
        <w:bidi w:val="0"/>
        <w:spacing w:before="240" w:after="0"/>
        <w:jc w:val="left"/>
        <w:rPr>
          <w:rFonts w:ascii="Times New Roman" w:hAnsi="Times New Roman"/>
          <w:b/>
          <w:sz w:val="20"/>
        </w:rPr>
      </w:pPr>
      <w:r>
        <w:rPr>
          <w:rFonts w:ascii="Times New Roman" w:hAnsi="Times New Roman"/>
          <w:b/>
          <w:sz w:val="20"/>
        </w:rPr>
        <w:t xml:space="preserve">Section 9.05 Execution of 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120" w:after="0"/>
        <w:jc w:val="center"/>
        <w:rPr>
          <w:rFonts w:ascii="Times New Roman" w:hAnsi="Times New Roman"/>
          <w:b/>
          <w:sz w:val="20"/>
        </w:rPr>
      </w:pPr>
      <w:r>
        <w:rPr>
          <w:rFonts w:ascii="Times New Roman" w:hAnsi="Times New Roman"/>
          <w:b/>
          <w:sz w:val="20"/>
        </w:rPr>
        <w:t xml:space="preserve">SUCCESSOR ENTITY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10.01 Company May Consolidate, Etc.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10.02 Successor Entity Substituted.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case of any such consolidation, merger, sale, conveyance, transfer or other disposition, such changes in phraseology and form (but not in substance) may be made in the Securities thereafter to be issued as may be appropriate.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11.01 Satisfaction and Discharge of Indenture.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11.02 Discharge of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w:t>
      </w:r>
    </w:p>
    <w:p>
      <w:pPr>
        <w:pStyle w:val="TextBody"/>
        <w:bidi w:val="0"/>
        <w:spacing w:before="240" w:after="0"/>
        <w:jc w:val="left"/>
        <w:rPr>
          <w:rFonts w:ascii="Times New Roman" w:hAnsi="Times New Roman"/>
          <w:sz w:val="20"/>
        </w:rPr>
      </w:pPr>
      <w:r>
        <w:rPr>
          <w:rFonts w:ascii="Times New Roman" w:hAnsi="Times New Roman"/>
          <w:sz w:val="20"/>
        </w:rPr>
        <w:t xml:space="preserve">Thereafter, Sections 7.06 and 11.05 shall survive.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11.03 Deposited Moneys to be Held in Trust. </w:t>
      </w:r>
    </w:p>
    <w:p>
      <w:pPr>
        <w:pStyle w:val="TextBody"/>
        <w:bidi w:val="0"/>
        <w:spacing w:before="240" w:after="0"/>
        <w:jc w:val="left"/>
        <w:rPr>
          <w:rFonts w:ascii="Times New Roman" w:hAnsi="Times New Roman"/>
          <w:sz w:val="20"/>
        </w:rPr>
      </w:pPr>
      <w:r>
        <w:rPr>
          <w:rFonts w:ascii="Times New Roman" w:hAnsi="Times New Roman"/>
          <w:sz w:val="20"/>
        </w:rPr>
        <w:t xml:space="preserve">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11.04 Payment of Moneys Held by Paying Agents.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11.05 Repayment to Company. </w:t>
      </w:r>
    </w:p>
    <w:p>
      <w:pPr>
        <w:pStyle w:val="TextBody"/>
        <w:bidi w:val="0"/>
        <w:spacing w:before="240" w:after="0"/>
        <w:jc w:val="left"/>
        <w:rPr>
          <w:rFonts w:ascii="Times New Roman" w:hAnsi="Times New Roman"/>
          <w:sz w:val="20"/>
        </w:rPr>
      </w:pPr>
      <w:r>
        <w:rPr>
          <w:rFonts w:ascii="Times New Roman" w:hAnsi="Times New Roman"/>
          <w:sz w:val="20"/>
        </w:rPr>
        <w:t xml:space="preserve">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12 </w:t>
      </w:r>
    </w:p>
    <w:p>
      <w:pPr>
        <w:pStyle w:val="TextBody"/>
        <w:bidi w:val="0"/>
        <w:spacing w:before="120" w:after="0"/>
        <w:jc w:val="center"/>
        <w:rPr>
          <w:rFonts w:ascii="Times New Roman" w:hAnsi="Times New Roman"/>
          <w:b/>
          <w:sz w:val="20"/>
        </w:rPr>
      </w:pPr>
      <w:r>
        <w:rPr>
          <w:rFonts w:ascii="Times New Roman" w:hAnsi="Times New Roman"/>
          <w:b/>
          <w:sz w:val="20"/>
        </w:rPr>
        <w:t xml:space="preserve">IMMUNITY OF INCORPORATORS, STOCKHOLDERS, OFFICERS AND DIRECTORS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12.01 No Recourse. </w:t>
      </w:r>
    </w:p>
    <w:p>
      <w:pPr>
        <w:pStyle w:val="TextBody"/>
        <w:bidi w:val="0"/>
        <w:spacing w:before="240" w:after="0"/>
        <w:jc w:val="left"/>
        <w:rPr>
          <w:rFonts w:ascii="Times New Roman" w:hAnsi="Times New Roman"/>
          <w:sz w:val="20"/>
        </w:rPr>
      </w:pPr>
      <w:r>
        <w:rPr>
          <w:rFonts w:ascii="Times New Roman" w:hAnsi="Times New Roman"/>
          <w:sz w:val="20"/>
        </w:rPr>
        <w:t xml:space="preserve">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13 </w:t>
      </w:r>
    </w:p>
    <w:p>
      <w:pPr>
        <w:pStyle w:val="TextBody"/>
        <w:bidi w:val="0"/>
        <w:spacing w:before="120" w:after="0"/>
        <w:jc w:val="center"/>
        <w:rPr>
          <w:rFonts w:ascii="Times New Roman" w:hAnsi="Times New Roman"/>
          <w:b/>
          <w:sz w:val="20"/>
        </w:rPr>
      </w:pPr>
      <w:r>
        <w:rPr>
          <w:rFonts w:ascii="Times New Roman" w:hAnsi="Times New Roman"/>
          <w:b/>
          <w:sz w:val="20"/>
        </w:rPr>
        <w:t xml:space="preserve">MISCELLANEOUS PROVISIONS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13.01 Effect on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All the covenants, stipulations, promises and agreements in this Indenture made by or on behalf of the Company shall bind its successors and assigns, whether so expressed or not.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13.02 Actions by Successor. </w:t>
      </w:r>
    </w:p>
    <w:p>
      <w:pPr>
        <w:pStyle w:val="TextBody"/>
        <w:bidi w:val="0"/>
        <w:spacing w:before="240" w:after="0"/>
        <w:jc w:val="left"/>
        <w:rPr>
          <w:rFonts w:ascii="Times New Roman" w:hAnsi="Times New Roman"/>
          <w:sz w:val="20"/>
        </w:rPr>
      </w:pPr>
      <w:r>
        <w:rPr>
          <w:rFonts w:ascii="Times New Roman" w:hAnsi="Times New Roman"/>
          <w:sz w:val="20"/>
        </w:rPr>
        <w:t xml:space="preserve">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13.03 Surrender of Company Powers.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13.04 Notices.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13.05 Governing Law; Jury Trial Waiver.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each Security shall be governed by, and construed in accordance with, the internal laws of the State of New York, except to the extent that the Trust Indenture Act is applicable.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13.06 Treatment of Securities as Debt. </w:t>
      </w:r>
    </w:p>
    <w:p>
      <w:pPr>
        <w:pStyle w:val="TextBody"/>
        <w:bidi w:val="0"/>
        <w:spacing w:before="240" w:after="0"/>
        <w:jc w:val="left"/>
        <w:rPr>
          <w:rFonts w:ascii="Times New Roman" w:hAnsi="Times New Roman"/>
          <w:sz w:val="20"/>
        </w:rPr>
      </w:pPr>
      <w:r>
        <w:rPr>
          <w:rFonts w:ascii="Times New Roman" w:hAnsi="Times New Roman"/>
          <w:sz w:val="20"/>
        </w:rPr>
        <w:t xml:space="preserve">It is intended that the Securities will be treated as indebtedness and not as equity for federal income tax purposes. The provisions of this Indenture shall be interpreted to further this intention.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13.07 Certificates and Opinions as to Conditions Precedent.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13.08 Payments on Business Days.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13.09 Conflict with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If and to the extent that any provision of this Indenture limits, qualifies or conflicts with the duties imposed by Section 318(c) of the Trust Indenture Act, such imposed duties shall control.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13.10 Counterparts.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13.11 Separability. </w:t>
      </w:r>
    </w:p>
    <w:p>
      <w:pPr>
        <w:pStyle w:val="TextBody"/>
        <w:bidi w:val="0"/>
        <w:spacing w:before="240" w:after="0"/>
        <w:jc w:val="left"/>
        <w:rPr>
          <w:rFonts w:ascii="Times New Roman" w:hAnsi="Times New Roman"/>
          <w:sz w:val="20"/>
        </w:rPr>
      </w:pPr>
      <w:r>
        <w:rPr>
          <w:rFonts w:ascii="Times New Roman" w:hAnsi="Times New Roman"/>
          <w:sz w:val="20"/>
        </w:rPr>
        <w:t xml:space="preserve">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13.12 Compliance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13.13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13.14 Force Majeure.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13.15 Table of Contents; Headings.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Indenture have been inserted for convenience of reference only, are not intended to be considered a part hereof, and will not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Indenture to be duly executed all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396"/>
        <w:gridCol w:w="132"/>
        <w:gridCol w:w="2554"/>
      </w:tblGrid>
      <w:tr>
        <w:trPr/>
        <w:tc>
          <w:tcPr>
            <w:tcW w:w="139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VOR BIOPHARMA INC., as Company</w:t>
            </w:r>
          </w:p>
        </w:tc>
      </w:tr>
      <w:tr>
        <w:trPr>
          <w:trHeight w:val="240" w:hRule="atLeast"/>
        </w:trPr>
        <w:tc>
          <w:tcPr>
            <w:tcW w:w="1396" w:type="dxa"/>
            <w:tcBorders/>
            <w:vAlign w:val="center"/>
          </w:tcPr>
          <w:p>
            <w:pPr>
              <w:pStyle w:val="TableContents"/>
              <w:bidi w:val="0"/>
              <w:spacing w:before="0" w:after="283"/>
              <w:jc w:val="left"/>
              <w:rPr>
                <w:sz w:val="4"/>
                <w:szCs w:val="4"/>
              </w:rPr>
            </w:pPr>
            <w:r>
              <w:rPr>
                <w:sz w:val="4"/>
                <w:szCs w:val="4"/>
              </w:rPr>
            </w:r>
          </w:p>
        </w:tc>
        <w:tc>
          <w:tcPr>
            <w:tcW w:w="2686" w:type="dxa"/>
            <w:gridSpan w:val="2"/>
            <w:tcBorders/>
            <w:vAlign w:val="center"/>
          </w:tcPr>
          <w:p>
            <w:pPr>
              <w:pStyle w:val="TableContents"/>
              <w:bidi w:val="0"/>
              <w:spacing w:before="0" w:after="283"/>
              <w:jc w:val="left"/>
              <w:rPr>
                <w:sz w:val="4"/>
                <w:szCs w:val="4"/>
              </w:rPr>
            </w:pPr>
            <w:r>
              <w:rPr>
                <w:sz w:val="4"/>
                <w:szCs w:val="4"/>
              </w:rPr>
            </w:r>
          </w:p>
        </w:tc>
      </w:tr>
      <w:tr>
        <w:trPr/>
        <w:tc>
          <w:tcPr>
            <w:tcW w:w="1396"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4" w:type="dxa"/>
            <w:tcBorders>
              <w:bottom w:val="single" w:sz="2" w:space="0" w:color="000000"/>
            </w:tcBorders>
            <w:tcMar>
              <w:bottom w:w="28" w:type="dxa"/>
            </w:tcMar>
          </w:tcPr>
          <w:p>
            <w:pPr>
              <w:pStyle w:val="TableContents"/>
              <w:bidi w:val="0"/>
              <w:spacing w:before="0" w:after="283"/>
              <w:jc w:val="left"/>
              <w:rPr/>
            </w:pPr>
            <w:r>
              <w:rPr/>
              <w:t> </w:t>
            </w:r>
          </w:p>
        </w:tc>
      </w:tr>
      <w:tr>
        <w:trPr/>
        <w:tc>
          <w:tcPr>
            <w:tcW w:w="1396" w:type="dxa"/>
            <w:tcBorders/>
          </w:tcPr>
          <w:p>
            <w:pPr>
              <w:pStyle w:val="TableContents"/>
              <w:bidi w:val="0"/>
              <w:spacing w:before="0" w:after="283"/>
              <w:jc w:val="left"/>
              <w:rPr/>
            </w:pPr>
            <w:r>
              <w:rPr/>
              <w:t>Name:</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4" w:type="dxa"/>
            <w:tcBorders>
              <w:bottom w:val="single" w:sz="2" w:space="0" w:color="000000"/>
            </w:tcBorders>
            <w:tcMar>
              <w:bottom w:w="28" w:type="dxa"/>
            </w:tcMar>
          </w:tcPr>
          <w:p>
            <w:pPr>
              <w:pStyle w:val="TableContents"/>
              <w:bidi w:val="0"/>
              <w:spacing w:before="0" w:after="283"/>
              <w:jc w:val="left"/>
              <w:rPr/>
            </w:pPr>
            <w:r>
              <w:rPr/>
              <w:t> </w:t>
            </w:r>
          </w:p>
        </w:tc>
      </w:tr>
      <w:tr>
        <w:trPr/>
        <w:tc>
          <w:tcPr>
            <w:tcW w:w="1396" w:type="dxa"/>
            <w:tcBorders/>
          </w:tcPr>
          <w:p>
            <w:pPr>
              <w:pStyle w:val="TableContents"/>
              <w:bidi w:val="0"/>
              <w:spacing w:before="0" w:after="283"/>
              <w:jc w:val="left"/>
              <w:rPr/>
            </w:pPr>
            <w:r>
              <w:rPr/>
              <w:t>Title:</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4"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[TRUSTEE], as Trustee</w:t>
            </w:r>
          </w:p>
        </w:tc>
      </w:tr>
      <w:tr>
        <w:trPr>
          <w:trHeight w:val="240" w:hRule="atLeast"/>
        </w:trPr>
        <w:tc>
          <w:tcPr>
            <w:tcW w:w="1396" w:type="dxa"/>
            <w:tcBorders/>
            <w:vAlign w:val="center"/>
          </w:tcPr>
          <w:p>
            <w:pPr>
              <w:pStyle w:val="TableContents"/>
              <w:bidi w:val="0"/>
              <w:spacing w:before="0" w:after="283"/>
              <w:jc w:val="left"/>
              <w:rPr>
                <w:sz w:val="4"/>
                <w:szCs w:val="4"/>
              </w:rPr>
            </w:pPr>
            <w:r>
              <w:rPr>
                <w:sz w:val="4"/>
                <w:szCs w:val="4"/>
              </w:rPr>
            </w:r>
          </w:p>
        </w:tc>
        <w:tc>
          <w:tcPr>
            <w:tcW w:w="2686" w:type="dxa"/>
            <w:gridSpan w:val="2"/>
            <w:tcBorders/>
            <w:vAlign w:val="center"/>
          </w:tcPr>
          <w:p>
            <w:pPr>
              <w:pStyle w:val="TableContents"/>
              <w:bidi w:val="0"/>
              <w:spacing w:before="0" w:after="283"/>
              <w:jc w:val="left"/>
              <w:rPr>
                <w:sz w:val="4"/>
                <w:szCs w:val="4"/>
              </w:rPr>
            </w:pPr>
            <w:r>
              <w:rPr>
                <w:sz w:val="4"/>
                <w:szCs w:val="4"/>
              </w:rPr>
            </w:r>
          </w:p>
        </w:tc>
      </w:tr>
      <w:tr>
        <w:trPr/>
        <w:tc>
          <w:tcPr>
            <w:tcW w:w="1396" w:type="dxa"/>
            <w:tcBorders/>
          </w:tcPr>
          <w:p>
            <w:pPr>
              <w:pStyle w:val="TableContents"/>
              <w:bidi w:val="0"/>
              <w:spacing w:before="0" w:after="283"/>
              <w:jc w:val="left"/>
              <w:rPr/>
            </w:pPr>
            <w:r>
              <w:rPr/>
              <w:t>By:</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4" w:type="dxa"/>
            <w:tcBorders>
              <w:bottom w:val="single" w:sz="2" w:space="0" w:color="000000"/>
            </w:tcBorders>
            <w:tcMar>
              <w:bottom w:w="28" w:type="dxa"/>
            </w:tcMar>
          </w:tcPr>
          <w:p>
            <w:pPr>
              <w:pStyle w:val="TableContents"/>
              <w:bidi w:val="0"/>
              <w:spacing w:before="0" w:after="283"/>
              <w:jc w:val="left"/>
              <w:rPr/>
            </w:pPr>
            <w:r>
              <w:rPr/>
              <w:t> </w:t>
            </w:r>
          </w:p>
        </w:tc>
      </w:tr>
      <w:tr>
        <w:trPr/>
        <w:tc>
          <w:tcPr>
            <w:tcW w:w="1396" w:type="dxa"/>
            <w:tcBorders/>
          </w:tcPr>
          <w:p>
            <w:pPr>
              <w:pStyle w:val="TableContents"/>
              <w:bidi w:val="0"/>
              <w:spacing w:before="0" w:after="283"/>
              <w:jc w:val="left"/>
              <w:rPr/>
            </w:pPr>
            <w:r>
              <w:rPr/>
              <w:t>Name:</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4" w:type="dxa"/>
            <w:tcBorders>
              <w:bottom w:val="single" w:sz="2" w:space="0" w:color="000000"/>
            </w:tcBorders>
            <w:tcMar>
              <w:bottom w:w="28" w:type="dxa"/>
            </w:tcMar>
          </w:tcPr>
          <w:p>
            <w:pPr>
              <w:pStyle w:val="TableContents"/>
              <w:bidi w:val="0"/>
              <w:spacing w:before="0" w:after="283"/>
              <w:jc w:val="left"/>
              <w:rPr/>
            </w:pPr>
            <w:r>
              <w:rPr/>
              <w:t> </w:t>
            </w:r>
          </w:p>
        </w:tc>
      </w:tr>
      <w:tr>
        <w:trPr/>
        <w:tc>
          <w:tcPr>
            <w:tcW w:w="1396" w:type="dxa"/>
            <w:tcBorders/>
          </w:tcPr>
          <w:p>
            <w:pPr>
              <w:pStyle w:val="TableContents"/>
              <w:bidi w:val="0"/>
              <w:spacing w:before="0" w:after="283"/>
              <w:jc w:val="left"/>
              <w:rPr/>
            </w:pPr>
            <w:r>
              <w:rPr/>
              <w:t>Title:</w:t>
            </w:r>
          </w:p>
        </w:tc>
        <w:tc>
          <w:tcPr>
            <w:tcW w:w="132" w:type="dxa"/>
            <w:tcBorders>
              <w:bottom w:val="single" w:sz="2" w:space="0" w:color="000000"/>
            </w:tcBorders>
            <w:tcMar>
              <w:bottom w:w="28" w:type="dxa"/>
            </w:tcMar>
            <w:vAlign w:val="bottom"/>
          </w:tcPr>
          <w:p>
            <w:pPr>
              <w:pStyle w:val="TableContents"/>
              <w:bidi w:val="0"/>
              <w:spacing w:before="0" w:after="283"/>
              <w:jc w:val="left"/>
              <w:rPr/>
            </w:pPr>
            <w:r>
              <w:rPr/>
              <w:t> </w:t>
            </w:r>
          </w:p>
        </w:tc>
        <w:tc>
          <w:tcPr>
            <w:tcW w:w="2554"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CROSS-REFERENCE TABLE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0"/>
        <w:gridCol w:w="120"/>
        <w:gridCol w:w="2615"/>
      </w:tblGrid>
      <w:tr>
        <w:trPr/>
        <w:tc>
          <w:tcPr>
            <w:tcW w:w="7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74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of Trust Indenture Act of 1939, as Amended</w:t>
            </w:r>
          </w:p>
        </w:tc>
        <w:tc>
          <w:tcPr>
            <w:tcW w:w="120" w:type="dxa"/>
            <w:tcBorders/>
            <w:vAlign w:val="bottom"/>
          </w:tcPr>
          <w:p>
            <w:pPr>
              <w:pStyle w:val="TableContents"/>
              <w:bidi w:val="0"/>
              <w:spacing w:before="0" w:after="283"/>
              <w:jc w:val="left"/>
              <w:rPr/>
            </w:pPr>
            <w:r>
              <w:rPr/>
              <w:t>  </w:t>
            </w:r>
          </w:p>
        </w:tc>
        <w:tc>
          <w:tcPr>
            <w:tcW w:w="26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Section of Indenture</w:t>
            </w:r>
          </w:p>
        </w:tc>
      </w:tr>
      <w:tr>
        <w:trPr/>
        <w:tc>
          <w:tcPr>
            <w:tcW w:w="7470" w:type="dxa"/>
            <w:tcBorders/>
          </w:tcPr>
          <w:p>
            <w:pPr>
              <w:pStyle w:val="TableContents"/>
              <w:bidi w:val="0"/>
              <w:spacing w:before="0" w:after="283"/>
              <w:jc w:val="left"/>
              <w:rPr/>
            </w:pPr>
            <w:r>
              <w:rPr/>
              <w:t>310(a)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7.09</w:t>
            </w:r>
          </w:p>
        </w:tc>
      </w:tr>
      <w:tr>
        <w:trPr/>
        <w:tc>
          <w:tcPr>
            <w:tcW w:w="7470" w:type="dxa"/>
            <w:tcBorders/>
          </w:tcPr>
          <w:p>
            <w:pPr>
              <w:pStyle w:val="TableContents"/>
              <w:bidi w:val="0"/>
              <w:spacing w:before="0" w:after="283"/>
              <w:jc w:val="left"/>
              <w:rPr/>
            </w:pPr>
            <w:r>
              <w:rPr/>
              <w:t>310(b)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7.08</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7.10</w:t>
            </w:r>
          </w:p>
        </w:tc>
      </w:tr>
      <w:tr>
        <w:trPr/>
        <w:tc>
          <w:tcPr>
            <w:tcW w:w="7470" w:type="dxa"/>
            <w:tcBorders/>
          </w:tcPr>
          <w:p>
            <w:pPr>
              <w:pStyle w:val="TableContents"/>
              <w:bidi w:val="0"/>
              <w:spacing w:before="0" w:after="283"/>
              <w:jc w:val="left"/>
              <w:rPr/>
            </w:pPr>
            <w:r>
              <w:rPr/>
              <w:t>310(c)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311(a)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7.13</w:t>
            </w:r>
          </w:p>
        </w:tc>
      </w:tr>
      <w:tr>
        <w:trPr/>
        <w:tc>
          <w:tcPr>
            <w:tcW w:w="7470" w:type="dxa"/>
            <w:tcBorders/>
          </w:tcPr>
          <w:p>
            <w:pPr>
              <w:pStyle w:val="TableContents"/>
              <w:bidi w:val="0"/>
              <w:spacing w:before="0" w:after="283"/>
              <w:jc w:val="left"/>
              <w:rPr/>
            </w:pPr>
            <w:r>
              <w:rPr/>
              <w:t>311(b)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7.13</w:t>
            </w:r>
          </w:p>
        </w:tc>
      </w:tr>
      <w:tr>
        <w:trPr/>
        <w:tc>
          <w:tcPr>
            <w:tcW w:w="7470" w:type="dxa"/>
            <w:tcBorders/>
          </w:tcPr>
          <w:p>
            <w:pPr>
              <w:pStyle w:val="TableContents"/>
              <w:bidi w:val="0"/>
              <w:spacing w:before="0" w:after="283"/>
              <w:jc w:val="left"/>
              <w:rPr/>
            </w:pPr>
            <w:r>
              <w:rPr/>
              <w:t>311(c)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312(a)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5.01</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5.02(a)</w:t>
            </w:r>
          </w:p>
        </w:tc>
      </w:tr>
      <w:tr>
        <w:trPr/>
        <w:tc>
          <w:tcPr>
            <w:tcW w:w="7470" w:type="dxa"/>
            <w:tcBorders/>
          </w:tcPr>
          <w:p>
            <w:pPr>
              <w:pStyle w:val="TableContents"/>
              <w:bidi w:val="0"/>
              <w:spacing w:before="0" w:after="283"/>
              <w:jc w:val="left"/>
              <w:rPr/>
            </w:pPr>
            <w:r>
              <w:rPr/>
              <w:t>312(b)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5.02(c)</w:t>
            </w:r>
          </w:p>
        </w:tc>
      </w:tr>
      <w:tr>
        <w:trPr/>
        <w:tc>
          <w:tcPr>
            <w:tcW w:w="7470" w:type="dxa"/>
            <w:tcBorders/>
          </w:tcPr>
          <w:p>
            <w:pPr>
              <w:pStyle w:val="TableContents"/>
              <w:bidi w:val="0"/>
              <w:spacing w:before="0" w:after="283"/>
              <w:jc w:val="left"/>
              <w:rPr/>
            </w:pPr>
            <w:r>
              <w:rPr/>
              <w:t>312(c)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5.02(c)</w:t>
            </w:r>
          </w:p>
        </w:tc>
      </w:tr>
      <w:tr>
        <w:trPr/>
        <w:tc>
          <w:tcPr>
            <w:tcW w:w="7470" w:type="dxa"/>
            <w:tcBorders/>
          </w:tcPr>
          <w:p>
            <w:pPr>
              <w:pStyle w:val="TableContents"/>
              <w:bidi w:val="0"/>
              <w:spacing w:before="0" w:after="283"/>
              <w:jc w:val="left"/>
              <w:rPr/>
            </w:pPr>
            <w:r>
              <w:rPr/>
              <w:t>313(a)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5.04(a)</w:t>
            </w:r>
          </w:p>
        </w:tc>
      </w:tr>
      <w:tr>
        <w:trPr/>
        <w:tc>
          <w:tcPr>
            <w:tcW w:w="7470" w:type="dxa"/>
            <w:tcBorders/>
          </w:tcPr>
          <w:p>
            <w:pPr>
              <w:pStyle w:val="TableContents"/>
              <w:bidi w:val="0"/>
              <w:spacing w:before="0" w:after="283"/>
              <w:jc w:val="left"/>
              <w:rPr/>
            </w:pPr>
            <w:r>
              <w:rPr/>
              <w:t>313(b)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5.04(b)</w:t>
            </w:r>
          </w:p>
        </w:tc>
      </w:tr>
      <w:tr>
        <w:trPr/>
        <w:tc>
          <w:tcPr>
            <w:tcW w:w="7470" w:type="dxa"/>
            <w:tcBorders/>
          </w:tcPr>
          <w:p>
            <w:pPr>
              <w:pStyle w:val="TableContents"/>
              <w:bidi w:val="0"/>
              <w:spacing w:before="0" w:after="283"/>
              <w:jc w:val="left"/>
              <w:rPr/>
            </w:pPr>
            <w:r>
              <w:rPr/>
              <w:t>313(c)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5.04(a)</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5.04(b)</w:t>
            </w:r>
          </w:p>
        </w:tc>
      </w:tr>
      <w:tr>
        <w:trPr/>
        <w:tc>
          <w:tcPr>
            <w:tcW w:w="7470" w:type="dxa"/>
            <w:tcBorders/>
          </w:tcPr>
          <w:p>
            <w:pPr>
              <w:pStyle w:val="TableContents"/>
              <w:bidi w:val="0"/>
              <w:spacing w:before="0" w:after="283"/>
              <w:jc w:val="left"/>
              <w:rPr/>
            </w:pPr>
            <w:r>
              <w:rPr/>
              <w:t>313(d)</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5.04(c)</w:t>
            </w:r>
          </w:p>
        </w:tc>
      </w:tr>
      <w:tr>
        <w:trPr/>
        <w:tc>
          <w:tcPr>
            <w:tcW w:w="7470" w:type="dxa"/>
            <w:tcBorders/>
          </w:tcPr>
          <w:p>
            <w:pPr>
              <w:pStyle w:val="TableContents"/>
              <w:bidi w:val="0"/>
              <w:spacing w:before="0" w:after="283"/>
              <w:jc w:val="left"/>
              <w:rPr/>
            </w:pPr>
            <w:r>
              <w:rPr/>
              <w:t>314(a)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5.03</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13.12</w:t>
            </w:r>
          </w:p>
        </w:tc>
      </w:tr>
      <w:tr>
        <w:trPr/>
        <w:tc>
          <w:tcPr>
            <w:tcW w:w="7470" w:type="dxa"/>
            <w:tcBorders/>
          </w:tcPr>
          <w:p>
            <w:pPr>
              <w:pStyle w:val="TableContents"/>
              <w:bidi w:val="0"/>
              <w:spacing w:before="0" w:after="283"/>
              <w:jc w:val="left"/>
              <w:rPr/>
            </w:pPr>
            <w:r>
              <w:rPr/>
              <w:t>314(b)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314(c)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13.07(a)</w:t>
            </w:r>
          </w:p>
        </w:tc>
      </w:tr>
      <w:tr>
        <w:trPr/>
        <w:tc>
          <w:tcPr>
            <w:tcW w:w="7470" w:type="dxa"/>
            <w:tcBorders/>
          </w:tcPr>
          <w:p>
            <w:pPr>
              <w:pStyle w:val="TableContents"/>
              <w:bidi w:val="0"/>
              <w:spacing w:before="0" w:after="283"/>
              <w:jc w:val="left"/>
              <w:rPr/>
            </w:pPr>
            <w:r>
              <w:rPr/>
              <w:t>314(d)</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314(e)</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13.07(b)</w:t>
            </w:r>
          </w:p>
        </w:tc>
      </w:tr>
      <w:tr>
        <w:trPr/>
        <w:tc>
          <w:tcPr>
            <w:tcW w:w="7470" w:type="dxa"/>
            <w:tcBorders/>
          </w:tcPr>
          <w:p>
            <w:pPr>
              <w:pStyle w:val="TableContents"/>
              <w:bidi w:val="0"/>
              <w:spacing w:before="0" w:after="283"/>
              <w:jc w:val="left"/>
              <w:rPr/>
            </w:pPr>
            <w:r>
              <w:rPr/>
              <w:t>314(f)</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Inapplicable</w:t>
            </w:r>
          </w:p>
        </w:tc>
      </w:tr>
      <w:tr>
        <w:trPr/>
        <w:tc>
          <w:tcPr>
            <w:tcW w:w="7470" w:type="dxa"/>
            <w:tcBorders/>
          </w:tcPr>
          <w:p>
            <w:pPr>
              <w:pStyle w:val="TableContents"/>
              <w:bidi w:val="0"/>
              <w:spacing w:before="0" w:after="283"/>
              <w:jc w:val="left"/>
              <w:rPr/>
            </w:pPr>
            <w:r>
              <w:rPr/>
              <w:t>315(a)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7.01(a)</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7.01(b)</w:t>
            </w:r>
          </w:p>
        </w:tc>
      </w:tr>
      <w:tr>
        <w:trPr/>
        <w:tc>
          <w:tcPr>
            <w:tcW w:w="7470" w:type="dxa"/>
            <w:tcBorders/>
          </w:tcPr>
          <w:p>
            <w:pPr>
              <w:pStyle w:val="TableContents"/>
              <w:bidi w:val="0"/>
              <w:spacing w:before="0" w:after="283"/>
              <w:jc w:val="left"/>
              <w:rPr/>
            </w:pPr>
            <w:r>
              <w:rPr/>
              <w:t>315(b)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7.14</w:t>
            </w:r>
          </w:p>
        </w:tc>
      </w:tr>
      <w:tr>
        <w:trPr/>
        <w:tc>
          <w:tcPr>
            <w:tcW w:w="7470" w:type="dxa"/>
            <w:tcBorders/>
          </w:tcPr>
          <w:p>
            <w:pPr>
              <w:pStyle w:val="TableContents"/>
              <w:bidi w:val="0"/>
              <w:spacing w:before="0" w:after="283"/>
              <w:jc w:val="left"/>
              <w:rPr/>
            </w:pPr>
            <w:r>
              <w:rPr/>
              <w:t>315(c)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w:t>
            </w:r>
          </w:p>
        </w:tc>
      </w:tr>
      <w:tr>
        <w:trPr/>
        <w:tc>
          <w:tcPr>
            <w:tcW w:w="7470" w:type="dxa"/>
            <w:tcBorders/>
          </w:tcPr>
          <w:p>
            <w:pPr>
              <w:pStyle w:val="TableContents"/>
              <w:bidi w:val="0"/>
              <w:spacing w:before="0" w:after="283"/>
              <w:jc w:val="left"/>
              <w:rPr/>
            </w:pPr>
            <w:r>
              <w:rPr/>
              <w:t>315(d)</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7.01(b)</w:t>
            </w:r>
          </w:p>
        </w:tc>
      </w:tr>
      <w:tr>
        <w:trPr/>
        <w:tc>
          <w:tcPr>
            <w:tcW w:w="7470" w:type="dxa"/>
            <w:tcBorders/>
          </w:tcPr>
          <w:p>
            <w:pPr>
              <w:pStyle w:val="TableContents"/>
              <w:bidi w:val="0"/>
              <w:spacing w:before="0" w:after="283"/>
              <w:jc w:val="left"/>
              <w:rPr/>
            </w:pPr>
            <w:r>
              <w:rPr/>
              <w:t>315(e)</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6.07</w:t>
            </w:r>
          </w:p>
        </w:tc>
      </w:tr>
      <w:tr>
        <w:trPr/>
        <w:tc>
          <w:tcPr>
            <w:tcW w:w="7470" w:type="dxa"/>
            <w:tcBorders/>
          </w:tcPr>
          <w:p>
            <w:pPr>
              <w:pStyle w:val="TableContents"/>
              <w:bidi w:val="0"/>
              <w:spacing w:before="0" w:after="283"/>
              <w:jc w:val="left"/>
              <w:rPr/>
            </w:pPr>
            <w:r>
              <w:rPr/>
              <w:t>316(a)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6.06</w:t>
            </w:r>
          </w:p>
        </w:tc>
      </w:tr>
      <w:tr>
        <w:trPr/>
        <w:tc>
          <w:tcPr>
            <w:tcW w:w="747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8.04</w:t>
            </w:r>
          </w:p>
        </w:tc>
      </w:tr>
      <w:tr>
        <w:trPr/>
        <w:tc>
          <w:tcPr>
            <w:tcW w:w="7470" w:type="dxa"/>
            <w:tcBorders/>
          </w:tcPr>
          <w:p>
            <w:pPr>
              <w:pStyle w:val="TableContents"/>
              <w:bidi w:val="0"/>
              <w:spacing w:before="0" w:after="283"/>
              <w:jc w:val="left"/>
              <w:rPr/>
            </w:pPr>
            <w:r>
              <w:rPr/>
              <w:t>316(b)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6.04</w:t>
            </w:r>
          </w:p>
        </w:tc>
      </w:tr>
      <w:tr>
        <w:trPr/>
        <w:tc>
          <w:tcPr>
            <w:tcW w:w="7470" w:type="dxa"/>
            <w:tcBorders/>
          </w:tcPr>
          <w:p>
            <w:pPr>
              <w:pStyle w:val="TableContents"/>
              <w:bidi w:val="0"/>
              <w:spacing w:before="0" w:after="283"/>
              <w:jc w:val="left"/>
              <w:rPr/>
            </w:pPr>
            <w:r>
              <w:rPr/>
              <w:t>316(c)</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8.01</w:t>
            </w:r>
          </w:p>
        </w:tc>
      </w:tr>
      <w:tr>
        <w:trPr/>
        <w:tc>
          <w:tcPr>
            <w:tcW w:w="7470" w:type="dxa"/>
            <w:tcBorders/>
          </w:tcPr>
          <w:p>
            <w:pPr>
              <w:pStyle w:val="TableContents"/>
              <w:bidi w:val="0"/>
              <w:spacing w:before="0" w:after="283"/>
              <w:jc w:val="left"/>
              <w:rPr/>
            </w:pPr>
            <w:r>
              <w:rPr/>
              <w:t>317(a)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6.02</w:t>
            </w:r>
          </w:p>
        </w:tc>
      </w:tr>
      <w:tr>
        <w:trPr/>
        <w:tc>
          <w:tcPr>
            <w:tcW w:w="7470" w:type="dxa"/>
            <w:tcBorders/>
          </w:tcPr>
          <w:p>
            <w:pPr>
              <w:pStyle w:val="TableContents"/>
              <w:bidi w:val="0"/>
              <w:spacing w:before="0" w:after="283"/>
              <w:jc w:val="left"/>
              <w:rPr/>
            </w:pPr>
            <w:r>
              <w:rPr/>
              <w:t>317(b)</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4.03</w:t>
            </w:r>
          </w:p>
        </w:tc>
      </w:tr>
      <w:tr>
        <w:trPr/>
        <w:tc>
          <w:tcPr>
            <w:tcW w:w="7470" w:type="dxa"/>
            <w:tcBorders/>
          </w:tcPr>
          <w:p>
            <w:pPr>
              <w:pStyle w:val="TableContents"/>
              <w:bidi w:val="0"/>
              <w:spacing w:before="0" w:after="283"/>
              <w:jc w:val="left"/>
              <w:rPr/>
            </w:pPr>
            <w:r>
              <w:rPr/>
              <w:t>318(a)</w:t>
            </w:r>
          </w:p>
        </w:tc>
        <w:tc>
          <w:tcPr>
            <w:tcW w:w="120" w:type="dxa"/>
            <w:tcBorders/>
            <w:vAlign w:val="bottom"/>
          </w:tcPr>
          <w:p>
            <w:pPr>
              <w:pStyle w:val="TableContents"/>
              <w:bidi w:val="0"/>
              <w:spacing w:before="0" w:after="283"/>
              <w:jc w:val="left"/>
              <w:rPr/>
            </w:pPr>
            <w:r>
              <w:rPr/>
              <w:t>  </w:t>
            </w:r>
          </w:p>
        </w:tc>
        <w:tc>
          <w:tcPr>
            <w:tcW w:w="2615" w:type="dxa"/>
            <w:tcBorders/>
          </w:tcPr>
          <w:p>
            <w:pPr>
              <w:pStyle w:val="TableContents"/>
              <w:bidi w:val="0"/>
              <w:spacing w:before="0" w:after="283"/>
              <w:jc w:val="left"/>
              <w:rPr/>
            </w:pPr>
            <w:r>
              <w:rPr/>
              <w:t>13.09</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Cross-Reference Table does not constitute part of the Indenture and shall not have any bearing on the interpretation of any of its terms 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right"/>
        <w:rPr>
          <w:rFonts w:ascii="Times New Roman" w:hAnsi="Times New Roman"/>
          <w:b/>
          <w:sz w:val="20"/>
        </w:rPr>
      </w:pPr>
      <w:bookmarkStart w:id="21" w:name="d105320dex51.htm"/>
      <w:bookmarkStart w:id="22" w:name="ksd105320dex51"/>
      <w:bookmarkEnd w:id="21"/>
      <w:bookmarkEnd w:id="22"/>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5"/>
        <w:gridCol w:w="105"/>
        <w:gridCol w:w="9195"/>
      </w:tblGrid>
      <w:tr>
        <w:trPr/>
        <w:tc>
          <w:tcPr>
            <w:tcW w:w="90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9195" w:type="dxa"/>
            <w:tcBorders/>
            <w:vAlign w:val="center"/>
          </w:tcPr>
          <w:p>
            <w:pPr>
              <w:pStyle w:val="TableContents"/>
              <w:bidi w:val="0"/>
              <w:spacing w:before="0" w:after="283"/>
              <w:jc w:val="left"/>
              <w:rPr>
                <w:sz w:val="4"/>
                <w:szCs w:val="4"/>
              </w:rPr>
            </w:pPr>
            <w:r>
              <w:rPr>
                <w:sz w:val="4"/>
                <w:szCs w:val="4"/>
              </w:rPr>
            </w:r>
          </w:p>
        </w:tc>
      </w:tr>
      <w:tr>
        <w:trPr/>
        <w:tc>
          <w:tcPr>
            <w:tcW w:w="905" w:type="dxa"/>
            <w:vMerge w:val="restart"/>
            <w:tcBorders/>
          </w:tcPr>
          <w:p>
            <w:pPr>
              <w:pStyle w:val="TableContents"/>
              <w:bidi w:val="0"/>
              <w:spacing w:before="0" w:after="0"/>
              <w:jc w:val="left"/>
              <w:rPr/>
            </w:pPr>
            <w:r>
              <w:rPr/>
              <w:drawing>
                <wp:inline distT="0" distB="0" distL="0" distR="0">
                  <wp:extent cx="561975" cy="733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561975" cy="733425"/>
                          </a:xfrm>
                          <a:prstGeom prst="rect">
                            <a:avLst/>
                          </a:prstGeom>
                        </pic:spPr>
                      </pic:pic>
                    </a:graphicData>
                  </a:graphic>
                </wp:inline>
              </w:drawing>
            </w:r>
            <w:r>
              <w:rPr/>
              <w:t xml:space="preserve"> </w:t>
            </w:r>
          </w:p>
        </w:tc>
        <w:tc>
          <w:tcPr>
            <w:tcW w:w="105" w:type="dxa"/>
            <w:tcBorders/>
            <w:vAlign w:val="bottom"/>
          </w:tcPr>
          <w:p>
            <w:pPr>
              <w:pStyle w:val="TableContents"/>
              <w:bidi w:val="0"/>
              <w:spacing w:before="0" w:after="283"/>
              <w:jc w:val="left"/>
              <w:rPr/>
            </w:pPr>
            <w:r>
              <w:rPr/>
              <w:t> </w:t>
            </w:r>
          </w:p>
        </w:tc>
        <w:tc>
          <w:tcPr>
            <w:tcW w:w="9195" w:type="dxa"/>
            <w:tcBorders/>
          </w:tcPr>
          <w:p>
            <w:pPr>
              <w:pStyle w:val="TableContents"/>
              <w:bidi w:val="0"/>
              <w:spacing w:before="0" w:after="0"/>
              <w:jc w:val="left"/>
              <w:rPr>
                <w:rFonts w:ascii="Times New Roman" w:hAnsi="Times New Roman"/>
                <w:sz w:val="20"/>
              </w:rPr>
            </w:pPr>
            <w:r>
              <w:rPr>
                <w:rFonts w:ascii="Times New Roman" w:hAnsi="Times New Roman"/>
                <w:sz w:val="20"/>
              </w:rPr>
              <w:t>ROPES &amp; GRAY LLP</w:t>
            </w:r>
          </w:p>
        </w:tc>
      </w:tr>
      <w:tr>
        <w:trPr/>
        <w:tc>
          <w:tcPr>
            <w:tcW w:w="905"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9195" w:type="dxa"/>
            <w:tcBorders/>
          </w:tcPr>
          <w:p>
            <w:pPr>
              <w:pStyle w:val="TableContents"/>
              <w:bidi w:val="0"/>
              <w:spacing w:before="0" w:after="0"/>
              <w:jc w:val="left"/>
              <w:rPr>
                <w:rFonts w:ascii="Times New Roman" w:hAnsi="Times New Roman"/>
                <w:sz w:val="20"/>
              </w:rPr>
            </w:pPr>
            <w:r>
              <w:rPr>
                <w:rFonts w:ascii="Times New Roman" w:hAnsi="Times New Roman"/>
                <w:sz w:val="20"/>
              </w:rPr>
              <w:t>PRUDENTIAL TOWER</w:t>
            </w:r>
          </w:p>
          <w:p>
            <w:pPr>
              <w:pStyle w:val="TableContents"/>
              <w:bidi w:val="0"/>
              <w:spacing w:before="0" w:after="20"/>
              <w:jc w:val="left"/>
              <w:rPr>
                <w:rFonts w:ascii="Times New Roman" w:hAnsi="Times New Roman"/>
                <w:sz w:val="20"/>
              </w:rPr>
            </w:pPr>
            <w:r>
              <w:rPr>
                <w:rFonts w:ascii="Times New Roman" w:hAnsi="Times New Roman"/>
                <w:sz w:val="20"/>
              </w:rPr>
              <w:t>800 BOYLSTON STREET</w:t>
            </w:r>
          </w:p>
        </w:tc>
      </w:tr>
      <w:tr>
        <w:trPr/>
        <w:tc>
          <w:tcPr>
            <w:tcW w:w="905"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9195" w:type="dxa"/>
            <w:tcBorders/>
          </w:tcPr>
          <w:p>
            <w:pPr>
              <w:pStyle w:val="TableContents"/>
              <w:bidi w:val="0"/>
              <w:spacing w:before="0" w:after="0"/>
              <w:jc w:val="left"/>
              <w:rPr>
                <w:rFonts w:ascii="Times New Roman" w:hAnsi="Times New Roman"/>
                <w:sz w:val="20"/>
              </w:rPr>
            </w:pPr>
            <w:r>
              <w:rPr>
                <w:rFonts w:ascii="Times New Roman" w:hAnsi="Times New Roman"/>
                <w:sz w:val="20"/>
              </w:rPr>
              <w:t>BOSTON, MA 02199-3600</w:t>
            </w:r>
          </w:p>
        </w:tc>
      </w:tr>
      <w:tr>
        <w:trPr/>
        <w:tc>
          <w:tcPr>
            <w:tcW w:w="905" w:type="dxa"/>
            <w:vMerge w:val="continue"/>
            <w:tcBorders/>
          </w:tcPr>
          <w:p>
            <w:pPr>
              <w:pStyle w:val="Normal"/>
              <w:bidi w:val="0"/>
              <w:jc w:val="left"/>
              <w:rPr/>
            </w:pPr>
            <w:r>
              <w:rPr/>
            </w:r>
          </w:p>
        </w:tc>
        <w:tc>
          <w:tcPr>
            <w:tcW w:w="105" w:type="dxa"/>
            <w:tcBorders/>
            <w:vAlign w:val="bottom"/>
          </w:tcPr>
          <w:p>
            <w:pPr>
              <w:pStyle w:val="TableContents"/>
              <w:bidi w:val="0"/>
              <w:spacing w:before="0" w:after="283"/>
              <w:jc w:val="left"/>
              <w:rPr/>
            </w:pPr>
            <w:r>
              <w:rPr/>
              <w:t> </w:t>
            </w:r>
          </w:p>
        </w:tc>
        <w:tc>
          <w:tcPr>
            <w:tcW w:w="9195" w:type="dxa"/>
            <w:tcBorders/>
          </w:tcPr>
          <w:p>
            <w:pPr>
              <w:pStyle w:val="TableContents"/>
              <w:bidi w:val="0"/>
              <w:spacing w:before="0" w:after="0"/>
              <w:jc w:val="left"/>
              <w:rPr>
                <w:rFonts w:ascii="Times New Roman" w:hAnsi="Times New Roman"/>
                <w:sz w:val="20"/>
              </w:rPr>
            </w:pPr>
            <w:r>
              <w:rPr>
                <w:rFonts w:ascii="Times New Roman" w:hAnsi="Times New Roman"/>
                <w:sz w:val="20"/>
              </w:rPr>
              <w:t>WWW.ROPESGRAY.COM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Vor Biopharma Inc. </w:t>
      </w:r>
    </w:p>
    <w:p>
      <w:pPr>
        <w:pStyle w:val="TextBody"/>
        <w:bidi w:val="0"/>
        <w:spacing w:before="0" w:after="0"/>
        <w:jc w:val="left"/>
        <w:rPr>
          <w:rFonts w:ascii="Times New Roman" w:hAnsi="Times New Roman"/>
          <w:sz w:val="20"/>
        </w:rPr>
      </w:pPr>
      <w:r>
        <w:rPr>
          <w:rFonts w:ascii="Times New Roman" w:hAnsi="Times New Roman"/>
          <w:sz w:val="20"/>
        </w:rPr>
        <w:t xml:space="preserve">500 Boylston Street, Suite 1350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02116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of Securities by Vor Biopharma Inc.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Vor Biopharma Inc., a Delaware corporation (the “</w:t>
      </w:r>
      <w:r>
        <w:rPr>
          <w:rFonts w:ascii="Times New Roman" w:hAnsi="Times New Roman"/>
          <w:sz w:val="20"/>
          <w:u w:val="single"/>
        </w:rPr>
        <w:t>Company</w:t>
      </w:r>
      <w:r>
        <w:rPr>
          <w:rFonts w:ascii="Times New Roman" w:hAnsi="Times New Roman"/>
          <w:sz w:val="20"/>
        </w:rPr>
        <w:t>”), in connection with the registration statement on Form S-3ASR (the “</w:t>
      </w:r>
      <w:r>
        <w:rPr>
          <w:rFonts w:ascii="Times New Roman" w:hAnsi="Times New Roman"/>
          <w:sz w:val="20"/>
          <w:u w:val="single"/>
        </w:rPr>
        <w:t>Registration Statement</w:t>
      </w:r>
      <w:r>
        <w:rPr>
          <w:rFonts w:ascii="Times New Roman" w:hAnsi="Times New Roman"/>
          <w:sz w:val="20"/>
        </w:rPr>
        <w:t>”) filed on the date hereof by the Company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relating to the registration under the Securities Act and the proposed issuance and sale from time to time pursuant to Rule 415 under the Securities Act of: </w:t>
      </w:r>
    </w:p>
    <w:p>
      <w:pPr>
        <w:pStyle w:val="TextBody"/>
        <w:bidi w:val="0"/>
        <w:spacing w:before="120" w:after="0"/>
        <w:jc w:val="left"/>
        <w:rPr>
          <w:rFonts w:ascii="Times New Roman" w:hAnsi="Times New Roman"/>
          <w:sz w:val="20"/>
        </w:rPr>
      </w:pPr>
      <w:r>
        <w:rPr>
          <w:rFonts w:ascii="Times New Roman" w:hAnsi="Times New Roman"/>
          <w:sz w:val="20"/>
        </w:rPr>
        <w:t>(i) shares of common stock of the Company, $0.0001 par value per share (the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shares of preferred stock of the Company, $0.0001 par value per share (the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(iii) one or more series of debt securities of the Company (the “</w:t>
      </w:r>
      <w:r>
        <w:rPr>
          <w:rFonts w:ascii="Times New Roman" w:hAnsi="Times New Roman"/>
          <w:sz w:val="20"/>
          <w:u w:val="single"/>
        </w:rPr>
        <w:t>Debt Securities</w:t>
      </w:r>
      <w:r>
        <w:rPr>
          <w:rFonts w:ascii="Times New Roman" w:hAnsi="Times New Roman"/>
          <w:sz w:val="20"/>
        </w:rPr>
        <w:t xml:space="preserve">”), which Debt Securities may include senior or subordinated debt securities issued under an indenture, including any supplemental indenture related thereto, and may be convertible into or exchangeable for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(iv) warrants representing the right to receive, upon exercise, a number of shares of Common Stock, shares of Preferred Stock or Debt Securities (the “</w:t>
      </w:r>
      <w:r>
        <w:rPr>
          <w:rFonts w:ascii="Times New Roman" w:hAnsi="Times New Roman"/>
          <w:sz w:val="20"/>
          <w:u w:val="single"/>
        </w:rPr>
        <w:t>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(v) units of the Company comprised of any combination of Common Stock, Preferred Stock, Debt Securities or Warrants (the “</w:t>
      </w:r>
      <w:r>
        <w:rPr>
          <w:rFonts w:ascii="Times New Roman" w:hAnsi="Times New Roman"/>
          <w:sz w:val="20"/>
          <w:u w:val="single"/>
        </w:rPr>
        <w:t>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Common Stock, the Preferred Stock, the Debt Securities, the Warrants and the Units are referred to herein collectively as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73"/>
        <w:gridCol w:w="122"/>
        <w:gridCol w:w="3217"/>
        <w:gridCol w:w="122"/>
        <w:gridCol w:w="3071"/>
      </w:tblGrid>
      <w:tr>
        <w:trPr/>
        <w:tc>
          <w:tcPr>
            <w:tcW w:w="36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673" w:type="dxa"/>
            <w:tcBorders/>
          </w:tcPr>
          <w:p>
            <w:pPr>
              <w:pStyle w:val="TableContents"/>
              <w:bidi w:val="0"/>
              <w:spacing w:before="0" w:after="283"/>
              <w:jc w:val="left"/>
              <w:rPr/>
            </w:pPr>
            <w:r>
              <w:rPr/>
              <w:t>Vor Biopharma Inc.</w:t>
            </w:r>
          </w:p>
        </w:tc>
        <w:tc>
          <w:tcPr>
            <w:tcW w:w="122"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- 2 -</w:t>
            </w:r>
          </w:p>
        </w:tc>
        <w:tc>
          <w:tcPr>
            <w:tcW w:w="122" w:type="dxa"/>
            <w:tcBorders/>
            <w:vAlign w:val="bottom"/>
          </w:tcPr>
          <w:p>
            <w:pPr>
              <w:pStyle w:val="TableContents"/>
              <w:bidi w:val="0"/>
              <w:spacing w:before="0" w:after="283"/>
              <w:jc w:val="left"/>
              <w:rPr/>
            </w:pPr>
            <w:r>
              <w:rPr/>
              <w:t>  </w:t>
            </w:r>
          </w:p>
        </w:tc>
        <w:tc>
          <w:tcPr>
            <w:tcW w:w="30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opinions expressed below are limited to the laws of the State of New York and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and the assumptions, qualifications and limitations set forth below,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When (i) the issuance and sale of any shares of Common Stock have been duly authorized by all necessary corporate action of the Company and (ii) such shares have been issued and delivered against payment of the purchase price therefor (in an amount in excess of the par value thereof) in accordance with the applicable purchase, underwriting or other agreement, and as contemplated by the Registration Statement, such shares of Common Stock will be validly issued, fully paid and nonassessable. The Common Stock covered in the opinion in this paragraph includes any shares of Common Stock that may be issued upon exercise, conversion or exchange pursuant to the terms of any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2. When (i) the terms of any Preferred Stock of a particular series and their issuance and sale have been duly authorized by all necessary corporate action of the Company, (ii) a certificate of designations with respect to such series of Preferred Stock has been duly adopted by the Company and filed with the Secretary of State of the State of Delaware, and (iii) such shares of Preferred Stock have been issued and delivered against payment of the purchase price therefor (in an amount in excess of the par value thereof) in accordance with the applicable purchase, underwriting or other agreement, and as contemplated by the Registration Statement, such shares of Preferred Stock will be validly issued, fully paid, and nonassessable. The Preferred Stock covered in the opinion in this paragraph includes any shares of Preferred Stock that may be issued upon exercise, conversion or exchange pursuant to the terms of any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3. When (i) the terms of any Debt Securities and their issuance and sale have been duly authorized by all necessary corporate action of the Company and (ii) such Debt Securities have been duly executed, authenticated and delivered against payment of the purchase price therefor in accordance with the applicable definitive purchase, underwriting or similar agreement, as contemplated by the Registration Statement, and in the manner provided for in the applicable indenture, such Debt Securities will constitute valid and binding obligations of the Company enforceable against the Company in accordance with their respective terms. The Debt Securities covered in the opinion in this paragraph include any Debt Securities that may be issued upon exercise, conversion or exchange pursuant to the terms of any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4. When (i) the terms of any Warrants and their issuance and sale have been duly authorized by all necessary corporate action of the Company and (ii) such Warrants have been duly executed, countersigned (if required) and delivered in accordance with the applicable warrant agreement and against payment of the purchase price therefor in accordance with the applicable purchase, underwriting or other agreement, and as contemplated by the Registration Statement, such Warrants will constitute valid and binding obligations of the Company enforceable against the Company in accordance with their terms.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73"/>
        <w:gridCol w:w="122"/>
        <w:gridCol w:w="3217"/>
        <w:gridCol w:w="122"/>
        <w:gridCol w:w="3071"/>
      </w:tblGrid>
      <w:tr>
        <w:trPr/>
        <w:tc>
          <w:tcPr>
            <w:tcW w:w="36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673" w:type="dxa"/>
            <w:tcBorders/>
          </w:tcPr>
          <w:p>
            <w:pPr>
              <w:pStyle w:val="TableContents"/>
              <w:bidi w:val="0"/>
              <w:spacing w:before="0" w:after="283"/>
              <w:jc w:val="left"/>
              <w:rPr/>
            </w:pPr>
            <w:r>
              <w:rPr/>
              <w:t>Vor Biopharma Inc.</w:t>
            </w:r>
          </w:p>
        </w:tc>
        <w:tc>
          <w:tcPr>
            <w:tcW w:w="122"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- 3 -</w:t>
            </w:r>
          </w:p>
        </w:tc>
        <w:tc>
          <w:tcPr>
            <w:tcW w:w="122" w:type="dxa"/>
            <w:tcBorders/>
            <w:vAlign w:val="bottom"/>
          </w:tcPr>
          <w:p>
            <w:pPr>
              <w:pStyle w:val="TableContents"/>
              <w:bidi w:val="0"/>
              <w:spacing w:before="0" w:after="283"/>
              <w:jc w:val="left"/>
              <w:rPr/>
            </w:pPr>
            <w:r>
              <w:rPr/>
              <w:t>  </w:t>
            </w:r>
          </w:p>
        </w:tc>
        <w:tc>
          <w:tcPr>
            <w:tcW w:w="30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When (i) the terms of any Units (including the terms of the component Securities) and their issuance and sale have been duly authorized by all necessary corporate action of the Company and (ii) such Units have been duly executed (if the Units are represented by a separate instrument) and delivered against payment of the purchase price therefor in accordance with the applicable purchase, underwriting or other agreement, and as contemplated by the Registration Statement, such Units will constitute valid and binding obligations of the Company enforceable against the Company in accordance with their respective terms.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above, we have assumed that (i) the Registration Statement will have become effective under the Securities Act, a prospectus supplement will have been prepared and filed with the Commission describing the Securities offered thereby and such Securities will have been issued and sold in accordance with the terms of such prospectus supplement; (ii) a definitive purchase, underwriting, or similar agreement, and any applicable indenture (including any supplemental indenture), warrant or unit agreement, pursuant to which such Securities may be issued, will have been duly authorized, executed and delivered by the Company and the other parties thereto, and the specific terms of such Securities will have been duly established in conformity with the applicable agreement and the certificate of incorporation and bylaws of the Company (if applicable); (iii) at the time of the issuance of any Securities, the Company will be a validly existing corporation under the law of its jurisdiction of incorporation; (iv) the number of shares of Common Stock or Preferred Stock, as applicable, issued pursuant to the Registration Statement, together with the number of shares outstanding or reserved at the time of issuance, will not exceed the respective number of shares authorized by the Company’s certificate of incorporation in effect at the time of such issuance; and (v) all the foregoing actions to be taken by the Company will have been taken so as not to violate any applicable law and so as to comply with any requirement or restriction imposed by any court or governmental or regulatory body having jurisdiction over the Company or any of its property. </w:t>
      </w:r>
    </w:p>
    <w:p>
      <w:pPr>
        <w:pStyle w:val="TextBody"/>
        <w:bidi w:val="0"/>
        <w:spacing w:before="240" w:after="0"/>
        <w:jc w:val="left"/>
        <w:rPr>
          <w:rFonts w:ascii="Times New Roman" w:hAnsi="Times New Roman"/>
          <w:sz w:val="20"/>
        </w:rPr>
      </w:pPr>
      <w:r>
        <w:rPr>
          <w:rFonts w:ascii="Times New Roman" w:hAnsi="Times New Roman"/>
          <w:sz w:val="20"/>
        </w:rPr>
        <w:t xml:space="preserve">Our opinions set forth above are subject to (a) bankruptcy, insolvency, reorganization, moratorium, fraudulent conveyance and similar laws affecting the rights and remedies of creditors generally and (b) general principles of equity. Our opinions are also subject to the qualification that the enforceability of provisions in the indenture (including any supplemental indenture) providing for indemnification or contribution, broadly worded waivers, waivers of rights to damages or defenses, waivers of unknown or future claims, and waivers of statutory, regulatory or constitutional rights may be limited on public policy or statutory grounds. In addition, we express no opinion with respect to the enforceability of rights to receive prepayment premiums or the unaccrued portion of original issue discount upon acceleration of any Debt Securities, in each case to the extent determined to be unreasonable or to constitute unmatured interest.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73"/>
        <w:gridCol w:w="122"/>
        <w:gridCol w:w="3217"/>
        <w:gridCol w:w="122"/>
        <w:gridCol w:w="3071"/>
      </w:tblGrid>
      <w:tr>
        <w:trPr/>
        <w:tc>
          <w:tcPr>
            <w:tcW w:w="367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673" w:type="dxa"/>
            <w:tcBorders/>
          </w:tcPr>
          <w:p>
            <w:pPr>
              <w:pStyle w:val="TableContents"/>
              <w:bidi w:val="0"/>
              <w:spacing w:before="0" w:after="283"/>
              <w:jc w:val="left"/>
              <w:rPr/>
            </w:pPr>
            <w:r>
              <w:rPr/>
              <w:t>Vor Biopharma Inc.</w:t>
            </w:r>
          </w:p>
        </w:tc>
        <w:tc>
          <w:tcPr>
            <w:tcW w:w="122" w:type="dxa"/>
            <w:tcBorders/>
            <w:vAlign w:val="bottom"/>
          </w:tcPr>
          <w:p>
            <w:pPr>
              <w:pStyle w:val="TableContents"/>
              <w:bidi w:val="0"/>
              <w:spacing w:before="0" w:after="283"/>
              <w:jc w:val="left"/>
              <w:rPr/>
            </w:pPr>
            <w:r>
              <w:rPr/>
              <w:t>  </w:t>
            </w:r>
          </w:p>
        </w:tc>
        <w:tc>
          <w:tcPr>
            <w:tcW w:w="3217" w:type="dxa"/>
            <w:tcBorders/>
          </w:tcPr>
          <w:p>
            <w:pPr>
              <w:pStyle w:val="TableContents"/>
              <w:bidi w:val="0"/>
              <w:spacing w:before="0" w:after="283"/>
              <w:jc w:val="left"/>
              <w:rPr/>
            </w:pPr>
            <w:r>
              <w:rPr/>
              <w:t>- 4 -</w:t>
            </w:r>
          </w:p>
        </w:tc>
        <w:tc>
          <w:tcPr>
            <w:tcW w:w="122" w:type="dxa"/>
            <w:tcBorders/>
            <w:vAlign w:val="bottom"/>
          </w:tcPr>
          <w:p>
            <w:pPr>
              <w:pStyle w:val="TableContents"/>
              <w:bidi w:val="0"/>
              <w:spacing w:before="0" w:after="283"/>
              <w:jc w:val="left"/>
              <w:rPr/>
            </w:pPr>
            <w:r>
              <w:rPr/>
              <w:t>  </w:t>
            </w:r>
          </w:p>
        </w:tc>
        <w:tc>
          <w:tcPr>
            <w:tcW w:w="30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letter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Ropes &amp; Gray LLP</w:t>
            </w:r>
          </w:p>
        </w:tc>
      </w:tr>
      <w:tr>
        <w:trPr/>
        <w:tc>
          <w:tcPr>
            <w:tcW w:w="4082" w:type="dxa"/>
            <w:tcBorders/>
          </w:tcPr>
          <w:p>
            <w:pPr>
              <w:pStyle w:val="TableContents"/>
              <w:bidi w:val="0"/>
              <w:spacing w:before="0" w:after="283"/>
              <w:jc w:val="left"/>
              <w:rPr/>
            </w:pPr>
            <w:r>
              <w:rPr/>
              <w:t>Ropes &amp; Gray LLP</w:t>
            </w:r>
          </w:p>
        </w:tc>
      </w:tr>
    </w:tbl>
    <w:p>
      <w:pPr>
        <w:pStyle w:val="TextBody"/>
        <w:bidi w:val="0"/>
        <w:spacing w:before="0" w:after="0"/>
        <w:jc w:val="right"/>
        <w:rPr>
          <w:rFonts w:ascii="Times New Roman" w:hAnsi="Times New Roman"/>
          <w:b/>
          <w:sz w:val="20"/>
        </w:rPr>
      </w:pPr>
      <w:bookmarkStart w:id="23" w:name="d105320dex232.htm"/>
      <w:bookmarkStart w:id="24" w:name="ksd105320dex232"/>
      <w:bookmarkEnd w:id="23"/>
      <w:bookmarkEnd w:id="24"/>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Registration Statement (Form S-3) and related Prospectus of Vor Biopharma Inc. for the registration of common stock, preferred stock, debt securities, warrants and units and to the incorporation by reference therein of our report dated March 30, 2026, with respect to the consolidated financial statements of Vor Biopharma Inc. included in its Annual Report (Form 10-K) for the year ended December 31, 2025, filed with the Securities and Exchange Commission.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September 4, 2026</w:t>
            </w:r>
          </w:p>
        </w:tc>
      </w:tr>
      <w:tr>
        <w:trPr/>
        <w:tc>
          <w:tcPr>
            <w:tcW w:w="4082" w:type="dxa"/>
            <w:tcBorders/>
          </w:tcPr>
          <w:p>
            <w:pPr>
              <w:pStyle w:val="TableContents"/>
              <w:bidi w:val="0"/>
              <w:spacing w:before="0" w:after="283"/>
              <w:jc w:val="left"/>
              <w:rPr/>
            </w:pPr>
            <w:r>
              <w:rPr/>
              <w:t>Boston, Massachusetts</w:t>
            </w:r>
          </w:p>
        </w:tc>
      </w:tr>
    </w:tbl>
    <w:p>
      <w:pPr>
        <w:pStyle w:val="Normal"/>
        <w:bidi w:val="0"/>
        <w:spacing w:before="0" w:after="0"/>
        <w:jc w:val="left"/>
        <w:rPr>
          <w:sz w:val="4"/>
          <w:szCs w:val="4"/>
        </w:rPr>
      </w:pPr>
      <w:r>
        <w:rPr>
          <w:sz w:val="4"/>
          <w:szCs w:val="4"/>
        </w:rPr>
      </w:r>
      <w:bookmarkStart w:id="25" w:name="d105320dexfilingfees.htm"/>
      <w:bookmarkStart w:id="26" w:name="ksd105320dexfilingfees"/>
      <w:bookmarkStart w:id="27" w:name="d105320dexfilingfees.htm"/>
      <w:bookmarkStart w:id="28" w:name="ksd105320dexfilingfees"/>
      <w:bookmarkEnd w:id="27"/>
      <w:bookmarkEnd w:id="28"/>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Vor Biopharma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54" w:type="dxa"/>
        <w:jc w:val="left"/>
        <w:tblInd w:w="0" w:type="dxa"/>
        <w:tblLayout w:type="fixed"/>
        <w:tblCellMar>
          <w:top w:w="28" w:type="dxa"/>
          <w:left w:w="28" w:type="dxa"/>
          <w:bottom w:w="28" w:type="dxa"/>
          <w:right w:w="28" w:type="dxa"/>
        </w:tblCellMar>
      </w:tblPr>
      <w:tblGrid>
        <w:gridCol w:w="1126"/>
        <w:gridCol w:w="226"/>
        <w:gridCol w:w="946"/>
        <w:gridCol w:w="102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9" w:name="MaxAggtOfferingPrice"/>
            <w:bookmarkEnd w:id="29"/>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0" w:name="TotalFee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1" w:name="TotalPreviouslyPaidAmt"/>
            <w:bookmarkEnd w:id="3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Offset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NetFee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(Note 1a)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 (Note 1b) There is being registered hereunder such indeterminate number or amount of common shares, preferred shares, debt securities, warrants and units of the Registrant as may from time to time be issued at indeterminate prices and as may be issued upon conversion, redemption, exchange, exercise or settlement of any securities registered hereunder, including under any applicable antidilution provisions.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2" w:type="dxa"/>
            <w:gridSpan w:val="2"/>
            <w:tcBorders/>
            <w:vAlign w:val="center"/>
          </w:tcPr>
          <w:p>
            <w:pPr>
              <w:pStyle w:val="TableContents"/>
              <w:bidi w:val="0"/>
              <w:spacing w:before="0" w:after="283"/>
              <w:jc w:val="left"/>
              <w:rPr/>
            </w:pPr>
            <w:r>
              <w:rPr/>
              <w:t xml:space="preserve">See (Note 1a) See (Note 1b)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2" w:type="dxa"/>
            <w:gridSpan w:val="2"/>
            <w:tcBorders/>
            <w:vAlign w:val="center"/>
          </w:tcPr>
          <w:p>
            <w:pPr>
              <w:pStyle w:val="TableContents"/>
              <w:bidi w:val="0"/>
              <w:spacing w:before="0" w:after="283"/>
              <w:jc w:val="left"/>
              <w:rPr/>
            </w:pPr>
            <w:r>
              <w:rPr/>
              <w:t xml:space="preserve">See (Note 1a) See (Note 1b)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2" w:type="dxa"/>
            <w:gridSpan w:val="2"/>
            <w:tcBorders/>
            <w:vAlign w:val="center"/>
          </w:tcPr>
          <w:p>
            <w:pPr>
              <w:pStyle w:val="TableContents"/>
              <w:bidi w:val="0"/>
              <w:spacing w:before="0" w:after="283"/>
              <w:jc w:val="left"/>
              <w:rPr/>
            </w:pPr>
            <w:r>
              <w:rPr/>
              <w:t xml:space="preserve">See (Note 1a) See (Note 1b)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2" w:type="dxa"/>
            <w:gridSpan w:val="2"/>
            <w:tcBorders/>
            <w:vAlign w:val="center"/>
          </w:tcPr>
          <w:p>
            <w:pPr>
              <w:pStyle w:val="TableContents"/>
              <w:bidi w:val="0"/>
              <w:spacing w:before="0" w:after="283"/>
              <w:jc w:val="left"/>
              <w:rPr/>
            </w:pPr>
            <w:r>
              <w:rPr/>
              <w:t xml:space="preserve">See (Note 1a) See (Note 1b)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r>
        <w:trPr/>
        <w:tc>
          <w:tcPr>
            <w:tcW w:w="203"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2" w:type="dxa"/>
            <w:gridSpan w:val="2"/>
            <w:tcBorders/>
            <w:vAlign w:val="center"/>
          </w:tcPr>
          <w:p>
            <w:pPr>
              <w:pStyle w:val="TableContents"/>
              <w:bidi w:val="0"/>
              <w:spacing w:before="0" w:after="283"/>
              <w:jc w:val="left"/>
              <w:rPr/>
            </w:pPr>
            <w:r>
              <w:rPr/>
              <w:t xml:space="preserve">See (Note 1a) See (Note 1b)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17229/000119312526130451/vor-20251231.htm" TargetMode="External"/><Relationship Id="rId4" Type="http://schemas.openxmlformats.org/officeDocument/2006/relationships/hyperlink" Target="http://www.sec.gov/Archives/edgar/data/../../../ix?doc=/Archives/edgar/data/0001817229/000119312526220689/vor-20260331.htm" TargetMode="External"/><Relationship Id="rId5" Type="http://schemas.openxmlformats.org/officeDocument/2006/relationships/hyperlink" Target="http://www.sec.gov/Archives/edgar/data/../../../ix?doc=/Archives/edgar/data/0001817229/000119312526343607/vor-20260630.htm" TargetMode="External"/><Relationship Id="rId6" Type="http://schemas.openxmlformats.org/officeDocument/2006/relationships/hyperlink" Target="http://www.sec.gov/Archives/edgar/data/../../../ix?doc=/Archives/edgar/data/0001817229/000119312526000905/vor-20251231.htm" TargetMode="External"/><Relationship Id="rId7" Type="http://schemas.openxmlformats.org/officeDocument/2006/relationships/hyperlink" Target="http://www.sec.gov/Archives/edgar/data/../../../ix?doc=/Archives/edgar/data/0001817229/000119312526127609/vor-20260326.htm" TargetMode="External"/><Relationship Id="rId8" Type="http://schemas.openxmlformats.org/officeDocument/2006/relationships/hyperlink" Target="http://www.sec.gov/Archives/edgar/data/../../../ix?doc=/Archives/edgar/data/0001817229/000119312526269431/vor-20260611.htm" TargetMode="External"/><Relationship Id="rId9" Type="http://schemas.openxmlformats.org/officeDocument/2006/relationships/hyperlink" Target="http://www.sec.gov/Archives/edgar/data/1817229/000119312521024727/d81279d8a12b.htm" TargetMode="External"/><Relationship Id="rId10" Type="http://schemas.openxmlformats.org/officeDocument/2006/relationships/hyperlink" Target="http://www.sec.gov/Archives/edgar/data/../../../ix?doc=/Archives/edgar/data/0001817229/000119312526130451/vor-20251231.htm" TargetMode="External"/><Relationship Id="rId11" Type="http://schemas.openxmlformats.org/officeDocument/2006/relationships/image" Target="media/image1.jpeg"/><Relationship Id="rId12" Type="http://schemas.openxmlformats.org/officeDocument/2006/relationships/hyperlink" Target="http://www.sec.gov/Archives/edgar/data/1817229/000119312525215602/d56908dex45.htm" TargetMode="External"/><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48216</Words>
  <Characters>248035</Characters>
  <CharactersWithSpaces>297136</CharactersWithSpaces>
  <Paragraphs>2950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