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7047865" cy="8724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8724900"/>
                    </a:xfrm>
                    <a:prstGeom prst="rect">
                      <a:avLst/>
                    </a:prstGeom>
                    <a:noFill/>
                  </pic:spPr>
                </pic:pic>
              </a:graphicData>
            </a:graphic>
          </wp:anchor>
        </w:drawing>
      </w:r>
    </w:p>
    <w:p>
      <w:pPr>
        <w:spacing w:after="0" w:line="1154" w:lineRule="exact"/>
        <w:rPr>
          <w:sz w:val="24"/>
          <w:szCs w:val="24"/>
          <w:color w:val="auto"/>
        </w:rPr>
      </w:pPr>
    </w:p>
    <w:p>
      <w:pPr>
        <w:sectPr>
          <w:pgSz w:w="11900" w:h="16838" w:orient="portrait"/>
          <w:cols w:equalWidth="0" w:num="2">
            <w:col w:w="2260" w:space="380"/>
            <w:col w:w="8440"/>
          </w:cols>
          <w:pgMar w:left="460" w:top="215" w:right="359" w:bottom="0" w:gutter="0" w:footer="0" w:header="0"/>
        </w:sectPr>
      </w:pPr>
    </w:p>
    <w:tbl>
      <w:tblPr>
        <w:tblLayout w:type="fixed"/>
        <w:tblInd w:w="80" w:type="dxa"/>
        <w:tblCellMar>
          <w:top w:w="0" w:type="dxa"/>
          <w:left w:w="0" w:type="dxa"/>
          <w:bottom w:w="0" w:type="dxa"/>
          <w:right w:w="0" w:type="dxa"/>
        </w:tblCellMar>
      </w:tblPr>
      <w:tr>
        <w:trPr>
          <w:trHeight w:val="230"/>
        </w:trPr>
        <w:tc>
          <w:tcPr>
            <w:tcW w:w="2440" w:type="dxa"/>
            <w:vAlign w:val="bottom"/>
            <w:gridSpan w:val="4"/>
          </w:tcPr>
          <w:p>
            <w:pPr>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20" w:type="dxa"/>
            <w:vAlign w:val="bottom"/>
            <w:gridSpan w:val="4"/>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RA CAPITAL MANAGEMENT, L.P.</w:t>
              </w:r>
            </w:hyperlink>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3"/>
          </w:tcPr>
          <w:p>
            <w:pPr>
              <w:spacing w:after="0" w:line="17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Vor Biopharma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VOR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2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460" w:type="dxa"/>
            <w:vAlign w:val="bottom"/>
            <w:tcBorders>
              <w:top w:val="single" w:sz="8" w:color="0000EE"/>
            </w:tcBorders>
          </w:tcPr>
          <w:p>
            <w:pPr>
              <w:spacing w:after="0"/>
              <w:rPr>
                <w:sz w:val="4"/>
                <w:szCs w:val="4"/>
                <w:color w:val="auto"/>
              </w:rPr>
            </w:pPr>
          </w:p>
        </w:tc>
        <w:tc>
          <w:tcPr>
            <w:tcW w:w="2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640" w:type="dxa"/>
            <w:vAlign w:val="bottom"/>
            <w:tcBorders>
              <w:top w:val="single" w:sz="8" w:color="0000EE"/>
              <w:bottom w:val="single" w:sz="8" w:color="9A9A9A"/>
            </w:tcBorders>
          </w:tcPr>
          <w:p>
            <w:pPr>
              <w:spacing w:after="0"/>
              <w:rPr>
                <w:sz w:val="14"/>
                <w:szCs w:val="14"/>
                <w:color w:val="auto"/>
              </w:rPr>
            </w:pPr>
          </w:p>
        </w:tc>
        <w:tc>
          <w:tcPr>
            <w:tcW w:w="660" w:type="dxa"/>
            <w:vAlign w:val="bottom"/>
            <w:tcBorders>
              <w:top w:val="single" w:sz="8" w:color="0000EE"/>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460" w:type="dxa"/>
            <w:vAlign w:val="bottom"/>
            <w:tcBorders>
              <w:bottom w:val="single" w:sz="8" w:color="2C2C2C"/>
            </w:tcBorders>
          </w:tcPr>
          <w:p>
            <w:pPr>
              <w:spacing w:after="0"/>
              <w:rPr>
                <w:sz w:val="14"/>
                <w:szCs w:val="14"/>
                <w:color w:val="auto"/>
              </w:rPr>
            </w:pPr>
          </w:p>
        </w:tc>
        <w:tc>
          <w:tcPr>
            <w:tcW w:w="218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Borders>
              <w:top w:val="single" w:sz="8" w:color="EEEEEE"/>
            </w:tcBorders>
          </w:tcPr>
          <w:p>
            <w:pPr>
              <w:spacing w:after="0"/>
              <w:rPr>
                <w:sz w:val="13"/>
                <w:szCs w:val="13"/>
                <w:color w:val="auto"/>
              </w:rPr>
            </w:pPr>
          </w:p>
        </w:tc>
        <w:tc>
          <w:tcPr>
            <w:tcW w:w="76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tcBorders>
              <w:top w:val="single" w:sz="8" w:color="EEEEEE"/>
            </w:tcBorders>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64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740" w:type="dxa"/>
            <w:vAlign w:val="bottom"/>
            <w:gridSpan w:val="4"/>
            <w:vMerge w:val="restart"/>
          </w:tcPr>
          <w:p>
            <w:pPr>
              <w:ind w:left="160"/>
              <w:spacing w:after="0"/>
              <w:rPr>
                <w:sz w:val="20"/>
                <w:szCs w:val="20"/>
                <w:color w:val="auto"/>
              </w:rPr>
            </w:pPr>
            <w:r>
              <w:rPr>
                <w:rFonts w:ascii="Times New Roman" w:cs="Times New Roman" w:eastAsia="Times New Roman" w:hAnsi="Times New Roman"/>
                <w:sz w:val="16"/>
                <w:szCs w:val="16"/>
                <w:color w:val="0000FF"/>
              </w:rPr>
              <w:t>06/11/2026</w:t>
            </w:r>
          </w:p>
        </w:tc>
        <w:tc>
          <w:tcPr>
            <w:tcW w:w="2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218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6"/>
          <w:szCs w:val="16"/>
          <w:color w:val="0000FF"/>
        </w:rPr>
        <w:t>200 BERKELEY STREET 18TH FLOOR</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left="-2" w:right="700" w:firstLine="2"/>
        <w:spacing w:after="0" w:line="248"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8"/>
        <w:spacing w:after="0"/>
        <w:tabs>
          <w:tab w:leader="none" w:pos="1728"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001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001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2" w:lineRule="exact"/>
        <w:rPr>
          <w:sz w:val="20"/>
          <w:szCs w:val="20"/>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0"/>
          <w:szCs w:val="20"/>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9" w:lineRule="exact"/>
        <w:rPr>
          <w:sz w:val="20"/>
          <w:szCs w:val="20"/>
          <w:color w:val="auto"/>
        </w:rPr>
      </w:pPr>
    </w:p>
    <w:p>
      <w:pPr>
        <w:sectPr>
          <w:pgSz w:w="11900" w:h="16838" w:orient="portrait"/>
          <w:cols w:equalWidth="0" w:num="2">
            <w:col w:w="7660" w:space="62"/>
            <w:col w:w="3358"/>
          </w:cols>
          <w:pgMar w:left="460" w:top="215" w:right="359" w:bottom="0" w:gutter="0" w:footer="0" w:header="0"/>
          <w:type w:val="continuous"/>
        </w:sectPr>
      </w:pPr>
    </w:p>
    <w:p>
      <w:pPr>
        <w:spacing w:after="0" w:line="189" w:lineRule="exact"/>
        <w:rPr>
          <w:sz w:val="20"/>
          <w:szCs w:val="20"/>
          <w:color w:val="auto"/>
        </w:rPr>
      </w:pPr>
    </w:p>
    <w:tbl>
      <w:tblPr>
        <w:tblLayout w:type="fixed"/>
        <w:tblInd w:w="80" w:type="dxa"/>
        <w:tblCellMar>
          <w:top w:w="0" w:type="dxa"/>
          <w:left w:w="0" w:type="dxa"/>
          <w:bottom w:w="0" w:type="dxa"/>
          <w:right w:w="0" w:type="dxa"/>
        </w:tblCellMar>
      </w:tblPr>
      <w:tr>
        <w:trPr>
          <w:trHeight w:val="166"/>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BOSTON</w:t>
            </w:r>
          </w:p>
        </w:tc>
        <w:tc>
          <w:tcPr>
            <w:tcW w:w="110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02116</w:t>
            </w:r>
          </w:p>
        </w:tc>
      </w:tr>
      <w:tr>
        <w:trPr>
          <w:trHeight w:val="144"/>
        </w:trPr>
        <w:tc>
          <w:tcPr>
            <w:tcW w:w="20" w:type="dxa"/>
            <w:vAlign w:val="bottom"/>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1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39"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1" w:lineRule="exact"/>
        <w:rPr>
          <w:sz w:val="20"/>
          <w:szCs w:val="20"/>
          <w:color w:val="auto"/>
        </w:rPr>
      </w:pPr>
    </w:p>
    <w:p>
      <w:pPr>
        <w:sectPr>
          <w:pgSz w:w="11900" w:h="16838" w:orient="portrait"/>
          <w:cols w:equalWidth="0" w:num="2">
            <w:col w:w="3740" w:space="160"/>
            <w:col w:w="718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0"/>
                <w:szCs w:val="10"/>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1040" w:type="dxa"/>
            <w:vAlign w:val="bottom"/>
            <w:gridSpan w:val="3"/>
          </w:tcPr>
          <w:p>
            <w:pPr>
              <w:ind w:left="40"/>
              <w:spacing w:after="0"/>
              <w:rPr>
                <w:sz w:val="20"/>
                <w:szCs w:val="20"/>
                <w:color w:val="auto"/>
              </w:rPr>
            </w:pPr>
            <w:r>
              <w:rPr>
                <w:rFonts w:ascii="Arial" w:cs="Arial" w:eastAsia="Arial" w:hAnsi="Arial"/>
                <w:sz w:val="11"/>
                <w:szCs w:val="11"/>
                <w:b w:val="1"/>
                <w:bCs w:val="1"/>
                <w:color w:val="auto"/>
              </w:rPr>
              <w:t>Execution Date,</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440" w:type="dxa"/>
            <w:vAlign w:val="bottom"/>
          </w:tcPr>
          <w:p>
            <w:pPr>
              <w:ind w:left="40"/>
              <w:spacing w:after="0"/>
              <w:rPr>
                <w:sz w:val="20"/>
                <w:szCs w:val="20"/>
                <w:color w:val="auto"/>
              </w:rPr>
            </w:pPr>
            <w:r>
              <w:rPr>
                <w:rFonts w:ascii="Arial" w:cs="Arial" w:eastAsia="Arial" w:hAnsi="Arial"/>
                <w:sz w:val="11"/>
                <w:szCs w:val="11"/>
                <w:b w:val="1"/>
                <w:bCs w:val="1"/>
                <w:color w:val="auto"/>
              </w:rPr>
              <w:t>of</w:t>
            </w:r>
          </w:p>
        </w:tc>
        <w:tc>
          <w:tcPr>
            <w:tcW w:w="300" w:type="dxa"/>
            <w:vAlign w:val="bottom"/>
          </w:tcPr>
          <w:p>
            <w:pPr>
              <w:spacing w:after="0"/>
              <w:rPr>
                <w:sz w:val="10"/>
                <w:szCs w:val="10"/>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2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gridSpan w:val="3"/>
          </w:tcPr>
          <w:p>
            <w:pPr>
              <w:ind w:left="40"/>
              <w:spacing w:after="0"/>
              <w:rPr>
                <w:sz w:val="20"/>
                <w:szCs w:val="20"/>
                <w:color w:val="auto"/>
              </w:rPr>
            </w:pPr>
            <w:r>
              <w:rPr>
                <w:rFonts w:ascii="Arial" w:cs="Arial" w:eastAsia="Arial" w:hAnsi="Arial"/>
                <w:sz w:val="11"/>
                <w:szCs w:val="11"/>
                <w:b w:val="1"/>
                <w:bCs w:val="1"/>
                <w:color w:val="auto"/>
              </w:rPr>
              <w:t>if any</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0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ind w:left="4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44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See Footnotes</w:t>
            </w:r>
            <w:r>
              <w:rPr>
                <w:rFonts w:ascii="Times New Roman" w:cs="Times New Roman" w:eastAsia="Times New Roman" w:hAnsi="Times New Roman"/>
                <w:sz w:val="20"/>
                <w:szCs w:val="20"/>
                <w:color w:val="008000"/>
                <w:vertAlign w:val="superscript"/>
              </w:rPr>
              <w:t>(1)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2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14.09</w:t>
            </w:r>
          </w:p>
        </w:tc>
        <w:tc>
          <w:tcPr>
            <w:tcW w:w="102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06/11/2026</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57,162</w:t>
            </w:r>
          </w:p>
        </w:tc>
        <w:tc>
          <w:tcPr>
            <w:tcW w:w="300" w:type="dxa"/>
            <w:vAlign w:val="bottom"/>
          </w:tcPr>
          <w:p>
            <w:pPr>
              <w:spacing w:after="0"/>
              <w:rPr>
                <w:sz w:val="16"/>
                <w:szCs w:val="16"/>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06/10/2036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rPr>
              <w:t>57,162</w:t>
            </w:r>
          </w:p>
        </w:tc>
        <w:tc>
          <w:tcPr>
            <w:tcW w:w="660" w:type="dxa"/>
            <w:vAlign w:val="bottom"/>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57,162</w:t>
            </w:r>
          </w:p>
        </w:tc>
        <w:tc>
          <w:tcPr>
            <w:tcW w:w="72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tcPr>
          <w:p>
            <w:pPr>
              <w:ind w:left="60"/>
              <w:spacing w:after="0" w:line="88" w:lineRule="exact"/>
              <w:rPr>
                <w:sz w:val="20"/>
                <w:szCs w:val="20"/>
                <w:color w:val="auto"/>
              </w:rPr>
            </w:pPr>
            <w:r>
              <w:rPr>
                <w:rFonts w:ascii="Times New Roman" w:cs="Times New Roman" w:eastAsia="Times New Roman" w:hAnsi="Times New Roman"/>
                <w:sz w:val="10"/>
                <w:szCs w:val="10"/>
                <w:color w:val="0000FF"/>
              </w:rPr>
              <w:t>(Right to</w:t>
            </w:r>
          </w:p>
        </w:tc>
        <w:tc>
          <w:tcPr>
            <w:tcW w:w="8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60"/>
              <w:spacing w:after="0" w:line="88"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0" w:type="dxa"/>
            <w:vAlign w:val="bottom"/>
          </w:tcPr>
          <w:p>
            <w:pPr>
              <w:ind w:left="60"/>
              <w:spacing w:after="0" w:line="88" w:lineRule="exact"/>
              <w:rPr>
                <w:sz w:val="20"/>
                <w:szCs w:val="20"/>
                <w:color w:val="auto"/>
              </w:rPr>
            </w:pPr>
            <w:r>
              <w:rPr>
                <w:rFonts w:ascii="Times New Roman" w:cs="Times New Roman" w:eastAsia="Times New Roman" w:hAnsi="Times New Roman"/>
                <w:sz w:val="10"/>
                <w:szCs w:val="10"/>
                <w:color w:val="008000"/>
              </w:rPr>
              <w:t>(2)(3)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2"/>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5"/>
          </w:tcPr>
          <w:p>
            <w:pPr>
              <w:ind w:left="60"/>
              <w:spacing w:after="0" w:line="224"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8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40" w:type="dxa"/>
            <w:vAlign w:val="bottom"/>
            <w:gridSpan w:val="6"/>
          </w:tcPr>
          <w:p>
            <w:pPr>
              <w:spacing w:after="0" w:line="21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RA CAPITAL MANAGEMENT, L.P.</w:t>
              </w:r>
            </w:hyperlink>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820" w:type="dxa"/>
            <w:vAlign w:val="bottom"/>
            <w:tcBorders>
              <w:top w:val="single" w:sz="8" w:color="0000EE"/>
              <w:bottom w:val="single" w:sz="8" w:color="9A9A9A"/>
            </w:tcBorders>
          </w:tcPr>
          <w:p>
            <w:pPr>
              <w:spacing w:after="0"/>
              <w:rPr>
                <w:sz w:val="14"/>
                <w:szCs w:val="14"/>
                <w:color w:val="auto"/>
              </w:rPr>
            </w:pPr>
          </w:p>
        </w:tc>
        <w:tc>
          <w:tcPr>
            <w:tcW w:w="102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480" w:type="dxa"/>
            <w:vAlign w:val="bottom"/>
            <w:tcBorders>
              <w:top w:val="single" w:sz="8" w:color="0000EE"/>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8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Arial" w:cs="Arial" w:eastAsia="Arial" w:hAnsi="Arial"/>
                <w:sz w:val="13"/>
                <w:szCs w:val="13"/>
                <w:color w:val="auto"/>
              </w:rPr>
              <w:t>(Middle)</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200 BERKELEY STREET 18TH FLOOR</w:t>
            </w: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BOSTON</w:t>
            </w: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0000FF"/>
              </w:rPr>
              <w:t>MA</w:t>
            </w:r>
          </w:p>
        </w:tc>
        <w:tc>
          <w:tcPr>
            <w:tcW w:w="104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02116</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8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(State)</w:t>
            </w:r>
          </w:p>
        </w:tc>
        <w:tc>
          <w:tcPr>
            <w:tcW w:w="18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Arial" w:cs="Arial" w:eastAsia="Arial" w:hAnsi="Arial"/>
                <w:sz w:val="13"/>
                <w:szCs w:val="13"/>
                <w:color w:val="auto"/>
              </w:rPr>
              <w:t>(Zip)</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gridSpan w:val="2"/>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40" w:type="dxa"/>
            <w:vAlign w:val="bottom"/>
            <w:gridSpan w:val="6"/>
          </w:tcPr>
          <w:p>
            <w:pPr>
              <w:spacing w:after="0" w:line="214" w:lineRule="exact"/>
              <w:rPr>
                <w:rFonts w:ascii="Times New Roman" w:cs="Times New Roman" w:eastAsia="Times New Roman" w:hAnsi="Times New Roman"/>
                <w:sz w:val="20"/>
                <w:szCs w:val="20"/>
                <w:color w:val="0000EE"/>
              </w:rPr>
            </w:pPr>
            <w:hyperlink r:id="rId16">
              <w:r>
                <w:rPr>
                  <w:rFonts w:ascii="Times New Roman" w:cs="Times New Roman" w:eastAsia="Times New Roman" w:hAnsi="Times New Roman"/>
                  <w:sz w:val="20"/>
                  <w:szCs w:val="20"/>
                  <w:color w:val="0000EE"/>
                </w:rPr>
                <w:t>RA Capital Healthcare Fund LP</w:t>
              </w:r>
            </w:hyperlink>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820" w:type="dxa"/>
            <w:vAlign w:val="bottom"/>
            <w:tcBorders>
              <w:top w:val="single" w:sz="8" w:color="0000EE"/>
              <w:bottom w:val="single" w:sz="8" w:color="9A9A9A"/>
            </w:tcBorders>
          </w:tcPr>
          <w:p>
            <w:pPr>
              <w:spacing w:after="0"/>
              <w:rPr>
                <w:sz w:val="14"/>
                <w:szCs w:val="14"/>
                <w:color w:val="auto"/>
              </w:rPr>
            </w:pPr>
          </w:p>
        </w:tc>
        <w:tc>
          <w:tcPr>
            <w:tcW w:w="102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8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Arial" w:cs="Arial" w:eastAsia="Arial" w:hAnsi="Arial"/>
                <w:sz w:val="13"/>
                <w:szCs w:val="13"/>
                <w:color w:val="auto"/>
              </w:rPr>
              <w:t>(Middle)</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200 BERKELEY STREET, 18TH FLOOR</w:t>
            </w: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BOSTON</w:t>
            </w: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0000FF"/>
              </w:rPr>
              <w:t>MA</w:t>
            </w:r>
          </w:p>
        </w:tc>
        <w:tc>
          <w:tcPr>
            <w:tcW w:w="104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02116</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8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(State)</w:t>
            </w:r>
          </w:p>
        </w:tc>
        <w:tc>
          <w:tcPr>
            <w:tcW w:w="18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Arial" w:cs="Arial" w:eastAsia="Arial" w:hAnsi="Arial"/>
                <w:sz w:val="13"/>
                <w:szCs w:val="13"/>
                <w:color w:val="auto"/>
              </w:rPr>
              <w:t>(Zip)</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380" w:type="dxa"/>
            <w:vAlign w:val="bottom"/>
            <w:tcBorders>
              <w:bottom w:val="single" w:sz="8" w:color="2C2C2C"/>
            </w:tcBorders>
            <w:gridSpan w:val="2"/>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Borders>
              <w:bottom w:val="single" w:sz="8" w:color="0000EE"/>
            </w:tcBorders>
            <w:gridSpan w:val="2"/>
          </w:tcPr>
          <w:p>
            <w:pPr>
              <w:spacing w:after="0" w:line="214" w:lineRule="exact"/>
              <w:rPr>
                <w:rFonts w:ascii="Times New Roman" w:cs="Times New Roman" w:eastAsia="Times New Roman" w:hAnsi="Times New Roman"/>
                <w:sz w:val="20"/>
                <w:szCs w:val="20"/>
                <w:color w:val="0000EE"/>
                <w:w w:val="98"/>
              </w:rPr>
            </w:pPr>
            <w:hyperlink r:id="rId17">
              <w:r>
                <w:rPr>
                  <w:rFonts w:ascii="Times New Roman" w:cs="Times New Roman" w:eastAsia="Times New Roman" w:hAnsi="Times New Roman"/>
                  <w:sz w:val="20"/>
                  <w:szCs w:val="20"/>
                  <w:color w:val="0000EE"/>
                  <w:w w:val="98"/>
                </w:rPr>
                <w:t>Kolchinsky Peter</w:t>
              </w:r>
            </w:hyperlink>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8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Arial" w:cs="Arial" w:eastAsia="Arial" w:hAnsi="Arial"/>
                <w:sz w:val="13"/>
                <w:szCs w:val="13"/>
                <w:color w:val="auto"/>
              </w:rPr>
              <w:t>(Middle)</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RA CAPITAL MANAGEMENT, L.P.</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200 BERKELEY STREET, 18TH FLOOR</w:t>
      </w:r>
    </w:p>
    <w:p>
      <w:pPr>
        <w:sectPr>
          <w:pgSz w:w="11900" w:h="16838" w:orient="portrait"/>
          <w:cols w:equalWidth="0" w:num="1">
            <w:col w:w="11080"/>
          </w:cols>
          <w:pgMar w:left="460" w:top="21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5"/>
        </w:trPr>
        <w:tc>
          <w:tcPr>
            <w:tcW w:w="144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BOSTON</w:t>
            </w:r>
          </w:p>
        </w:tc>
        <w:tc>
          <w:tcPr>
            <w:tcW w:w="12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MA</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02116</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4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9"/>
        </w:trPr>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2"/>
          </w:tcPr>
          <w:p>
            <w:pPr>
              <w:spacing w:after="0" w:line="214"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Shah Rajeev M.</w:t>
              </w:r>
            </w:hyperlink>
          </w:p>
        </w:tc>
        <w:tc>
          <w:tcPr>
            <w:tcW w:w="1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80" w:type="dxa"/>
            <w:vAlign w:val="bottom"/>
            <w:tcBorders>
              <w:top w:val="single" w:sz="8" w:color="0000EE"/>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4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-1190625</wp:posOffset>
            </wp:positionV>
            <wp:extent cx="2812415" cy="2288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2812415" cy="2288540"/>
                    </a:xfrm>
                    <a:prstGeom prst="rect">
                      <a:avLst/>
                    </a:prstGeom>
                    <a:noFill/>
                  </pic:spPr>
                </pic:pic>
              </a:graphicData>
            </a:graphic>
          </wp:anchor>
        </w:drawing>
      </w:r>
    </w:p>
    <w:p>
      <w:pPr>
        <w:spacing w:after="0" w:line="2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C/O RA CAPITAL MANAGEMENT, L.P.</w:t>
      </w:r>
    </w:p>
    <w:p>
      <w:pPr>
        <w:spacing w:after="0" w:line="6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200 BERKELEY STREET, 18TH FLOOR</w:t>
      </w:r>
    </w:p>
    <w:p>
      <w:pPr>
        <w:spacing w:after="0" w:line="281" w:lineRule="exact"/>
        <w:rPr>
          <w:sz w:val="20"/>
          <w:szCs w:val="20"/>
          <w:color w:val="auto"/>
        </w:rPr>
      </w:pPr>
    </w:p>
    <w:tbl>
      <w:tblPr>
        <w:tblLayout w:type="fixed"/>
        <w:tblInd w:w="60" w:type="dxa"/>
        <w:tblCellMar>
          <w:top w:w="0" w:type="dxa"/>
          <w:left w:w="0" w:type="dxa"/>
          <w:bottom w:w="0" w:type="dxa"/>
          <w:right w:w="0" w:type="dxa"/>
        </w:tblCellMar>
      </w:tblPr>
      <w:tr>
        <w:trPr>
          <w:trHeight w:val="166"/>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BOSTON</w:t>
            </w:r>
          </w:p>
        </w:tc>
        <w:tc>
          <w:tcPr>
            <w:tcW w:w="12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MA</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02116</w:t>
            </w:r>
          </w:p>
        </w:tc>
      </w:tr>
      <w:tr>
        <w:trPr>
          <w:trHeight w:val="144"/>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260" w:type="dxa"/>
            <w:vAlign w:val="bottom"/>
          </w:tcPr>
          <w:p>
            <w:pPr>
              <w:ind w:left="36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140" w:hanging="122"/>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One thirty-sixth of the shares subject to the option shall vest and become exercisable on July 11, 2026 and each month thereafter, subject to Dr. Andrew Levin's continued service through each such vesting date.</w:t>
      </w:r>
    </w:p>
    <w:p>
      <w:pPr>
        <w:spacing w:after="0" w:line="50" w:lineRule="exact"/>
        <w:rPr>
          <w:rFonts w:ascii="Times New Roman" w:cs="Times New Roman" w:eastAsia="Times New Roman" w:hAnsi="Times New Roman"/>
          <w:sz w:val="12"/>
          <w:szCs w:val="12"/>
          <w:color w:val="008000"/>
        </w:rPr>
      </w:pPr>
    </w:p>
    <w:p>
      <w:pPr>
        <w:ind w:left="20" w:right="40" w:hanging="2"/>
        <w:spacing w:after="0" w:line="235" w:lineRule="auto"/>
        <w:tabs>
          <w:tab w:leader="none" w:pos="14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RA Capital Management, L.P. (the "Adviser") is the investment manager for RA Capital Healthcare Fund, L.P. (the "Fund"). The general partner of the Adviser is RA Capital Management GP, LLC (the "Adviser GP"), of which Dr. Peter Kolchinsky and Mr. Rajeev Shah are the managing members. Each of the Adviser, the Adviser GP, the Fund, Dr. Kolchinsky, and Mr. Shah disclaim beneficial ownership of any of the reported securities, except to the extent of its or his respective pecuniary interest therein.</w:t>
      </w:r>
    </w:p>
    <w:p>
      <w:pPr>
        <w:spacing w:after="0" w:line="26" w:lineRule="exact"/>
        <w:rPr>
          <w:rFonts w:ascii="Times New Roman" w:cs="Times New Roman" w:eastAsia="Times New Roman" w:hAnsi="Times New Roman"/>
          <w:sz w:val="13"/>
          <w:szCs w:val="13"/>
          <w:color w:val="008000"/>
        </w:rPr>
      </w:pPr>
    </w:p>
    <w:p>
      <w:pPr>
        <w:ind w:left="20" w:hanging="2"/>
        <w:spacing w:after="0" w:line="245" w:lineRule="auto"/>
        <w:tabs>
          <w:tab w:leader="none" w:pos="14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Under Dr. Levin's arrangement with the Adviser, Dr. Levin holds the option for the benefit of the Fund. Dr. Levin is obligated to turn over to the Adviser any net cash or stock received upon exercise of the option, which will offset advisory fees owed by the Fund to the Adviser. The Reporting Persons therefore disclaim beneficial ownership of the option and underlying common stock.</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008000"/>
        </w:rPr>
        <w:t>Dr. Andrew Levin, a Partner and Managing Director of the Adviser, serves on the Issuer's board of directors.</w:t>
      </w:r>
    </w:p>
    <w:p>
      <w:pPr>
        <w:sectPr>
          <w:pgSz w:w="11900" w:h="16838" w:orient="portrait"/>
          <w:cols w:equalWidth="0" w:num="1">
            <w:col w:w="10800"/>
          </w:cols>
          <w:pgMar w:left="480" w:top="128" w:right="619" w:bottom="1440" w:gutter="0" w:footer="0" w:header="0"/>
        </w:sectPr>
      </w:pPr>
    </w:p>
    <w:p>
      <w:pPr>
        <w:spacing w:after="0" w:line="6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Peter Kolchinsky,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2560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of RA 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3639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Peter Kolchinsky,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2560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of RA Capital Healthcare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230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306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LLC, the General Partner of 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3373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Capital Healthcare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2280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8610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5016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501650"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Rajeev Shah,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1995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1995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68" w:lineRule="exact"/>
        <w:rPr>
          <w:sz w:val="20"/>
          <w:szCs w:val="20"/>
          <w:color w:val="auto"/>
        </w:rPr>
      </w:pPr>
    </w:p>
    <w:p>
      <w:pPr>
        <w:sectPr>
          <w:pgSz w:w="11900" w:h="16838" w:orient="portrait"/>
          <w:cols w:equalWidth="0" w:num="2">
            <w:col w:w="8720" w:space="60"/>
            <w:col w:w="2020"/>
          </w:cols>
          <w:pgMar w:left="480" w:top="128" w:right="619" w:bottom="144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0" w:right="3520" w:hanging="2"/>
        <w:spacing w:after="0" w:line="328" w:lineRule="auto"/>
        <w:tabs>
          <w:tab w:leader="none" w:pos="15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480" w:top="128" w:right="6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13" Type="http://schemas.openxmlformats.org/officeDocument/2006/relationships/hyperlink" Target="http://www.sec.gov/cgi-bin/browse-edgar?action=getcompany&amp;CIK=0001346824" TargetMode="External"/><Relationship Id="rId14" Type="http://schemas.openxmlformats.org/officeDocument/2006/relationships/hyperlink" Target="http://www.sec.gov/cgi-bin/browse-edgar?action=getcompany&amp;CIK=0001817229" TargetMode="External"/><Relationship Id="rId16" Type="http://schemas.openxmlformats.org/officeDocument/2006/relationships/hyperlink" Target="http://www.sec.gov/cgi-bin/browse-edgar?action=getcompany&amp;CIK=0001315082" TargetMode="External"/><Relationship Id="rId17" Type="http://schemas.openxmlformats.org/officeDocument/2006/relationships/hyperlink" Target="http://www.sec.gov/cgi-bin/browse-edgar?action=getcompany&amp;CIK=0001384859" TargetMode="External"/><Relationship Id="rId18" Type="http://schemas.openxmlformats.org/officeDocument/2006/relationships/hyperlink" Target="http://www.sec.gov/cgi-bin/browse-edgar?action=getcompany&amp;CIK=00016198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2026-06-12T19:46:06Z</dcterms:created>
  <dcterms:modified xsi:type="dcterms:W3CDTF">2026-06-12T19:46:06Z</dcterms:modified>
</cp:coreProperties>
</file>