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610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610735"/>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Namouni Fouad</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500 BOYLSTON STREET, SUITE 1350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Vor Biopharma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VOR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06/11/2026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5"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p>
      <w:pPr>
        <w:spacing w:after="0" w:line="232"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1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02116</w:t>
            </w:r>
          </w:p>
        </w:tc>
      </w:tr>
      <w:tr>
        <w:trPr>
          <w:trHeight w:val="149"/>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60" w:space="160"/>
            <w:col w:w="716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14.09</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06/11/2026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56,549</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06/10/2036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56,549</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56,549</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2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One thirty-sixth of the shares subject to the option shall vest and become exercisable on July 11, 2026 and each month thereafter, subject to the Reporting Person's continued service through each such vesting date.</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Adi Osovsky, Attorney-in-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06/12/2026</w:t>
            </w:r>
          </w:p>
        </w:tc>
        <w:tc>
          <w:tcPr>
            <w:tcW w:w="0" w:type="dxa"/>
            <w:vAlign w:val="bottom"/>
          </w:tcPr>
          <w:p>
            <w:pPr>
              <w:spacing w:after="0"/>
              <w:rPr>
                <w:sz w:val="1"/>
                <w:szCs w:val="1"/>
                <w:color w:val="auto"/>
              </w:rPr>
            </w:pPr>
          </w:p>
        </w:tc>
      </w:tr>
      <w:tr>
        <w:trPr>
          <w:trHeight w:val="88"/>
        </w:trPr>
        <w:tc>
          <w:tcPr>
            <w:tcW w:w="198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w:t>
            </w:r>
          </w:p>
        </w:tc>
        <w:tc>
          <w:tcPr>
            <w:tcW w:w="2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980" w:type="dxa"/>
            <w:vAlign w:val="bottom"/>
            <w:gridSpan w:val="2"/>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15851" TargetMode="External"/><Relationship Id="rId14" Type="http://schemas.openxmlformats.org/officeDocument/2006/relationships/hyperlink" Target="http://www.sec.gov/cgi-bin/browse-edgar?action=getcompany&amp;CIK=000181722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2026-06-12T19:43:01Z</dcterms:created>
  <dcterms:modified xsi:type="dcterms:W3CDTF">2026-06-12T19:43:01Z</dcterms:modified>
</cp:coreProperties>
</file>