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vor-20260630.htm"/>
      <w:bookmarkStart w:id="1" w:name="ksvor20260630"/>
      <w:bookmarkEnd w:id="0"/>
      <w:bookmarkEnd w:id="1"/>
      <w:r>
        <w:rPr/>
        <w:t> </w:t>
      </w:r>
      <w:r>
        <mc:AlternateContent>
          <mc:Choice Requires="wps">
            <w:drawing>
              <wp:anchor behindDoc="0" distT="0" distB="0" distL="0" distR="0" simplePos="0" locked="0" layoutInCell="1" allowOverlap="1" relativeHeight="2">
                <wp:simplePos x="0" y="0"/>
                <wp:positionH relativeFrom="page">
                  <wp:posOffset>0</wp:posOffset>
                </wp:positionH>
                <wp:positionV relativeFrom="page">
                  <wp:posOffset>9600565</wp:posOffset>
                </wp:positionV>
                <wp:extent cx="5943600" cy="274320"/>
                <wp:effectExtent l="0" t="0" r="0" b="0"/>
                <wp:wrapNone/>
                <wp:docPr id="1" name="Frame1"/>
                <a:graphic xmlns:a="http://schemas.openxmlformats.org/drawingml/2006/main">
                  <a:graphicData uri="http://schemas.microsoft.com/office/word/2010/wordprocessingShape">
                    <wps:wsp>
                      <wps:cNvSpPr txBox="1"/>
                      <wps:spPr>
                        <a:xfrm>
                          <a:off x="0" y="0"/>
                          <a:ext cx="5943600" cy="274320"/>
                        </a:xfrm>
                        <a:prstGeom prst="rect"/>
                        <a:solidFill>
                          <a:srgbClr val="FFFFFF"/>
                        </a:solidFill>
                      </wps:spPr>
                      <wps:txbx>
                        <w:txbxContent>
                          <w:p>
                            <w:pPr>
                              <w:pStyle w:val="TextBody"/>
                              <w:bidi w:val="0"/>
                              <w:spacing w:before="0" w:after="200"/>
                              <w:jc w:val="left"/>
                              <w:rPr>
                                <w:rFonts w:ascii="Times New Roman" w:hAnsi="Times New Roman"/>
                                <w:sz w:val="20"/>
                              </w:rPr>
                            </w:pPr>
                            <w:r>
                              <w:rPr>
                                <w:rFonts w:ascii="sans-serif" w:hAnsi="sans-serif"/>
                                <w:color w:val="000000"/>
                                <w:sz w:val="14"/>
                              </w:rPr>
                              <w:t>IF " DOCVARIABLE "SWDocIDLocation" 4096" = "2" " DOCPROPERTY "SWDocID" 4885-9433-7646 " ""</w:t>
                            </w:r>
                            <w:r>
                              <w:rPr>
                                <w:rFonts w:ascii="Times New Roman" w:hAnsi="Times New Roman"/>
                                <w:color w:val="000000"/>
                                <w:sz w:val="20"/>
                              </w:rPr>
                              <w:t xml:space="preserve"> </w:t>
                            </w:r>
                          </w:p>
                        </w:txbxContent>
                      </wps:txbx>
                      <wps:bodyPr anchor="t" lIns="0" tIns="0" rIns="0" bIns="0">
                        <a:noAutofit/>
                      </wps:bodyPr>
                    </wps:wsp>
                  </a:graphicData>
                </a:graphic>
              </wp:anchor>
            </w:drawing>
          </mc:Choice>
          <mc:Fallback>
            <w:pict>
              <v:rect style="position:absolute;rotation:-0;width:468pt;height:21.6pt;mso-wrap-distance-left:0pt;mso-wrap-distance-right:0pt;mso-wrap-distance-top:0pt;mso-wrap-distance-bottom:0pt;margin-top:755.95pt;mso-position-vertical-relative:page;margin-left:0pt;mso-position-horizontal-relative:page">
                <v:textbox inset="0in,0in,0in,0in">
                  <w:txbxContent>
                    <w:p>
                      <w:pPr>
                        <w:pStyle w:val="TextBody"/>
                        <w:bidi w:val="0"/>
                        <w:spacing w:before="0" w:after="200"/>
                        <w:jc w:val="left"/>
                        <w:rPr>
                          <w:rFonts w:ascii="Times New Roman" w:hAnsi="Times New Roman"/>
                          <w:sz w:val="20"/>
                        </w:rPr>
                      </w:pPr>
                      <w:r>
                        <w:rPr>
                          <w:rFonts w:ascii="sans-serif" w:hAnsi="sans-serif"/>
                          <w:color w:val="000000"/>
                          <w:sz w:val="14"/>
                        </w:rPr>
                        <w:t>IF " DOCVARIABLE "SWDocIDLocation" 4096" = "2" " DOCPROPERTY "SWDocID" 4885-9433-7646 " ""</w:t>
                      </w:r>
                      <w:r>
                        <w:rPr>
                          <w:rFonts w:ascii="Times New Roman" w:hAnsi="Times New Roman"/>
                          <w:color w:val="000000"/>
                          <w:sz w:val="20"/>
                        </w:rPr>
                        <w:t xml:space="preserve"> </w:t>
                      </w:r>
                    </w:p>
                  </w:txbxContent>
                </v:textbox>
                <w10:wrap type="none"/>
              </v:rect>
            </w:pict>
          </mc:Fallback>
        </mc:AlternateConten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transition period from __________________ to __________________</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001-39979</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VOR BIOPHARMA INC.</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81-1591163</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500 Boylston Street</w:t>
            </w:r>
          </w:p>
          <w:p>
            <w:pPr>
              <w:pStyle w:val="TableContents"/>
              <w:bidi w:val="0"/>
              <w:jc w:val="center"/>
              <w:rPr>
                <w:rFonts w:ascii="Times New Roman" w:hAnsi="Times New Roman"/>
                <w:b/>
                <w:color w:val="000000"/>
                <w:sz w:val="18"/>
              </w:rPr>
            </w:pPr>
            <w:r>
              <w:rPr>
                <w:rFonts w:ascii="Times New Roman" w:hAnsi="Times New Roman"/>
                <w:b/>
                <w:color w:val="000000"/>
                <w:sz w:val="18"/>
              </w:rPr>
              <w:t>Suite 1350</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Boston, Massachusetts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02116</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 xml:space="preserve">Registrant’s telephone number, including area code: </w:t>
      </w:r>
      <w:r>
        <w:rPr>
          <w:rFonts w:ascii="Times New Roman" w:hAnsi="Times New Roman"/>
          <w:b/>
          <w:color w:val="000000"/>
          <w:sz w:val="18"/>
        </w:rPr>
        <w:t>(617) 655-6580</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b/>
          <w:color w:val="000000"/>
          <w:sz w:val="14"/>
        </w:rPr>
      </w:pPr>
      <w:r>
        <w:rPr>
          <w:rFonts w:ascii="Times New Roman" w:hAnsi="Times New Roman"/>
          <w:b/>
          <w:color w:val="000000"/>
          <w:sz w:val="14"/>
        </w:rPr>
        <w:t>(Former name or former address, if changed since last report)</w:t>
      </w:r>
    </w:p>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20" w:type="dxa"/>
        <w:jc w:val="left"/>
        <w:tblInd w:w="0" w:type="dxa"/>
        <w:tblLayout w:type="fixed"/>
        <w:tblCellMar>
          <w:top w:w="28" w:type="dxa"/>
          <w:left w:w="28" w:type="dxa"/>
          <w:bottom w:w="28" w:type="dxa"/>
          <w:right w:w="28" w:type="dxa"/>
        </w:tblCellMar>
      </w:tblPr>
      <w:tblGrid>
        <w:gridCol w:w="3286"/>
        <w:gridCol w:w="146"/>
        <w:gridCol w:w="82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VOR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Global Select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Number of shares of the registrant’s Common Stock outstanding as of August 6, 2026 was 59,162,294.</w:t>
      </w:r>
    </w:p>
    <w:p>
      <w:pPr>
        <w:pStyle w:val="TextBody"/>
        <w:pBdr>
          <w:bottom w:val="doub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3"/>
        <w:gridCol w:w="8733"/>
        <w:gridCol w:w="649"/>
      </w:tblGrid>
      <w:tr>
        <w:trPr/>
        <w:tc>
          <w:tcPr>
            <w:tcW w:w="823" w:type="dxa"/>
            <w:tcBorders/>
            <w:vAlign w:val="center"/>
          </w:tcPr>
          <w:p>
            <w:pPr>
              <w:pStyle w:val="TableContents"/>
              <w:bidi w:val="0"/>
              <w:spacing w:before="0" w:after="283"/>
              <w:jc w:val="left"/>
              <w:rPr>
                <w:sz w:val="4"/>
                <w:szCs w:val="4"/>
              </w:rPr>
            </w:pPr>
            <w:r>
              <w:rPr>
                <w:sz w:val="4"/>
                <w:szCs w:val="4"/>
              </w:rPr>
            </w:r>
          </w:p>
        </w:tc>
        <w:tc>
          <w:tcPr>
            <w:tcW w:w="873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37"/>
              <w:jc w:val="left"/>
              <w:rPr>
                <w:rFonts w:ascii="Times New Roman" w:hAnsi="Times New Roman"/>
                <w:b/>
                <w:color w:val="000000"/>
                <w:sz w:val="16"/>
              </w:rPr>
            </w:pPr>
            <w:r>
              <w:rPr>
                <w:rFonts w:ascii="Times New Roman" w:hAnsi="Times New Roman"/>
                <w:b/>
                <w:color w:val="000000"/>
                <w:sz w:val="16"/>
              </w:rPr>
              <w:t>Page</w:t>
            </w:r>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7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563C1"/>
                  <w:sz w:val="20"/>
                  <w:u w:val="single"/>
                </w:rPr>
                <w:t>FINANCIAL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7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Times New Roman" w:hAnsi="Times New Roman"/>
                  <w:color w:val="0563C1"/>
                  <w:sz w:val="20"/>
                  <w:u w:val="single"/>
                </w:rPr>
                <w:t>Financial Statements (Unaudited)</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80"/>
                  <w:sz w:val="20"/>
                  <w:u w:val="single"/>
                </w:rPr>
                <w:t>Condensed Consolidated Balance Sheets as of</w:t>
              </w:r>
            </w:hyperlink>
            <w:hyperlink w:anchor="condensed_consolidated_balance_sheets">
              <w:r>
                <w:rPr>
                  <w:rStyle w:val="InternetLink"/>
                  <w:rFonts w:ascii="Times New Roman" w:hAnsi="Times New Roman"/>
                  <w:color w:val="000080"/>
                  <w:sz w:val="20"/>
                  <w:u w:val="single"/>
                </w:rPr>
                <w:t xml:space="preserve"> June 30, 2026 and December 31, 2025</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perations_compr">
              <w:r>
                <w:rPr>
                  <w:rStyle w:val="InternetLink"/>
                  <w:rFonts w:ascii="Times New Roman" w:hAnsi="Times New Roman"/>
                  <w:color w:val="0563C1"/>
                  <w:sz w:val="20"/>
                  <w:u w:val="single"/>
                </w:rPr>
                <w:t>Condensed Consolidated Statements of Operations and Comprehensive Loss for the Three and Six Months Ended June 30, 2026 and 2025</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7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redeemable_conve">
              <w:r>
                <w:rPr>
                  <w:rStyle w:val="InternetLink"/>
                  <w:rFonts w:ascii="Times New Roman" w:hAnsi="Times New Roman"/>
                  <w:color w:val="0563C1"/>
                  <w:sz w:val="20"/>
                  <w:u w:val="single"/>
                </w:rPr>
                <w:t>Condensed Consolidated Statements of Stockholders’ Equity (Deficit) for the Three and Six Months Ended June 30, 2026 and 2025</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563C1"/>
                  <w:sz w:val="20"/>
                  <w:u w:val="single"/>
                </w:rPr>
                <w:t>Condensed Consolidated Statements of Cash Flows for the Six Months Ended June 30, 2026 and 2025</w:t>
              </w:r>
            </w:hyperlink>
            <w:hyperlink w:anchor="condensed_consolidated_statements_cash_f">
              <w:r>
                <w:rPr>
                  <w:rStyle w:val="InternetLink"/>
                  <w:rFonts w:ascii="Times New Roman" w:hAnsi="Times New Roman"/>
                  <w:color w:val="0563C1"/>
                  <w:sz w:val="20"/>
                </w:rPr>
                <w:t xml:space="preserve"> </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consolidated">
              <w:r>
                <w:rPr>
                  <w:rStyle w:val="InternetLink"/>
                  <w:rFonts w:ascii="Times New Roman" w:hAnsi="Times New Roman"/>
                  <w:color w:val="0563C1"/>
                  <w:sz w:val="20"/>
                  <w:u w:val="single"/>
                </w:rPr>
                <w:t>Notes to Condensed Consolidated Financial Statements (Unaudited)</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7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563C1"/>
                  <w:sz w:val="20"/>
                  <w:u w:val="single"/>
                </w:rPr>
                <w:t>Management’s Discussion and Analysis of Financial Condition and Results of Operations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7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563C1"/>
                  <w:sz w:val="20"/>
                  <w:u w:val="single"/>
                </w:rPr>
                <w:t>Quantitative and Qualitative Disclosures About Market Risk</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7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563C1"/>
                  <w:sz w:val="20"/>
                  <w:u w:val="single"/>
                </w:rPr>
                <w:t>Controls and Procedures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7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563C1"/>
                  <w:sz w:val="20"/>
                  <w:u w:val="single"/>
                </w:rPr>
                <w:t>OTHER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7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563C1"/>
                  <w:sz w:val="20"/>
                  <w:u w:val="single"/>
                </w:rPr>
                <w:t>Legal Proceedings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7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563C1"/>
                  <w:sz w:val="20"/>
                  <w:u w:val="single"/>
                </w:rPr>
                <w:t>Risk Factors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7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563C1"/>
                  <w:sz w:val="20"/>
                  <w:u w:val="single"/>
                </w:rPr>
                <w:t>Other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7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563C1"/>
                  <w:sz w:val="20"/>
                  <w:u w:val="single"/>
                </w:rPr>
                <w:t>Exhibits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r>
        <w:trPr/>
        <w:tc>
          <w:tcPr>
            <w:tcW w:w="8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563C1"/>
                  <w:sz w:val="20"/>
                  <w:u w:val="single"/>
                </w:rPr>
                <w:t>Signatures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Regarding Company References</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Throughout this Quarterly Report on Form 10-Q, the “Company,” “Vor,” “Vor Bio,” “Vor Biopharma Inc.,” “we,” “us,” and “our,” except where the context requires otherwise, refer to Vor Biopharma Inc. and its consolidated subsidiary, and “our board of directors” refers to the board of directors of Vor Biopharma Inc.</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 projected costs, prospects, plans and objectives of management, are forward-looking statements. In some cases, you can identify forward-looking statements by terms such as “may,” “will,” “should,” “expect,” “plan,” “anticipate,” “could,” “might,” “intend,” “target,” “ongoing,” “project,” “estimate,” “believe,” “predict,” “potential” or “continue” or the negative of these terms or other similar expressions intended to identify statements about the future. These statements speak only as of the date of this Quarterly Report on Form 10-Q and involve known and unknown risks, uncertainties and other important factors that may cause our actual results, levels of activity, performance or achievements to be materially different from any future results, performance or achievements expressed or implied by the forward-looking statements.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based these forward-looking statements largely on our current expectations and projections about future events and financial trends that we believe may affect our business, financial condition and results of operations. These forward-looking statements include, without limitation, statements about: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timing, progress and results of our clinical trials of our product candidate and any future product candidates, including statements regarding the timing and pace of initiation, enrollment and completion of studies or trials and related preparatory work, the period during which the results of the trials will become available and plans with respect to our research and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any submission of filings for regulatory approval of, and our ability to obtain and maintain regulatory approvals for, our product candidate and any future product candidates for any 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patients with the diseases treated by our product candidate and any future product candidates, and to enroll patients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market acceptance and opportunity for and clinical utility of our product candidate and any future product candidates, if approved for commercial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scope of any approved indication for any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commercialize our product candidate or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estimates of our expenses, ongoing losses, future revenue and capital requirements and our need for or ability to obtain additional funding;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or maintain collaborations or strategic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recruit and retain key personnel, including executive officers and members of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upon intellectual property licensed from third parties and our ability to obtain such licenses on commercially reasonable terms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third-party contract manufacturing organizations and clinical manufacturing organizations and our ability to establish or maintain agreements on commercially reasonable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protect and enforce our intellectual property position for our product candidate or any future product candidates, and the scope of such protection;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period over which we estimate our existing cash, cash equivalents and marketable securities will be sufficient to fund our future operating expenses and capital expenditure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anticipated timing and availability of clinical trial data, including topline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competitive position and the development of and projections relating to our competition or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laws and regulations;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sufficiency of our existing cash, cash equivalents and marketable securities to fund our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time during which we will be an emerging growth company under the Jumpstart Our Business Startups Act of 2012.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 should read this Quarterly Report on Form 10-Q and the documents that we have filed as exhibits to this Quarterly Report on Form 10-Q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 You should refer to the “Risk Factors” section in this Quarterly Report for a discussion of material factors that could cause actual results or events to differ materially from the forward-looking statements that we make.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includes statistical and other industry and market data, which we obtained from our own internal estimates and research, as well as from industry and general publications and research, surveys, and studies conducted by third parties. Industry publications, studies, and surveys generally state that they have been obtained from sources believed to be reliable, although they do not guarantee the accuracy or completeness of such information. While we believe that each of these studies and publications is reliable, we have not independently verified market and industry data from third-party sources. While we believe our internal company research is reliable and the market definitions are appropriate, neither such research nor these definitions have been verified by any independent source.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brand names or trademarks appearing in this Quarterly Report on Form 10-Q are the property of their respective owners.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Summary Risk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is subject to a number of risks that if realized could materially affect our business, financial condition, results of operations, cash flows and access to liquidity. These risks are discussed more fully in the “Risk Factors” section of this Quarterly Report. Our principal risks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net losses since inception. We expect to incur net losses for the foreseeable future and may never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need substantial additional funding. If we are unable to raise capital when needed, we would be forced to delay, reduce or eliminate our research and product development programs or future commercialization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limited operating history, have not yet completed any clinical trials and have no history of commercializing products, which may make it difficult to evaluate the success of our business to date and to assess our future viability.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substantially dependent on the success of our lead product candidate, telitacicept. If we are unable to complete development of, obtain approval for and commercialize telitacicept in a timely manner, our business will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derive results and data for telitacicept from clinical trials conducted by RemeGen; our access to the clinical results and data may be limited or delayed, and there is no assurance that the clinical data from any such trials will be accepted or considered by the FDA or other comparable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on third parties accurately generating and reporting data related to our product candidate, and their conduct could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 in preclinical studies or clinical trials may not be indicative of results in future clinical trials, particularly for our clinical trials that involve only a small number of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experience significant delays or difficulties in the enrollment or retention of patients in clinical trials, the cost of developing product candidates could increase and our receipt of necessary regulatory approvals could be delayed or prevented.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contracted and will continue to contract with third parties for the manufacture and supply of materials for development of our product candidates, advancement of our current and future clinical trials, and potential commercialization of our product candidates. This reliance on third parties increases the risk that we will not have sufficient quantities and quality of such materials, product candidates or any products that we may develop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commercialize, or that such supply will not be available to us at an acceptable cost, which could delay, prevent or impair our development or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highly dependent on intellectual property licensed from third parties and termination of these licenses could result in the loss of significant rights, which would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claims of intellectual property infringement, misappropriation or other violations may prevent or delay our product discovery and development efforts and have a material adverse effect on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sz w:val="20"/>
        </w:rPr>
      </w:pPr>
      <w:bookmarkStart w:id="3" w:name="item_1_financial_statements_unaudited"/>
      <w:bookmarkEnd w:id="3"/>
      <w:r>
        <w:rPr>
          <w:rFonts w:ascii="Times New Roman" w:hAnsi="Times New Roman"/>
          <w:b/>
          <w:color w:val="000000"/>
          <w:sz w:val="20"/>
        </w:rPr>
        <w:t>Item 1. Financial Statements (Unaudited).</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VOR BIOPHARMA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67"/>
        <w:gridCol w:w="146"/>
        <w:gridCol w:w="196"/>
        <w:gridCol w:w="886"/>
        <w:gridCol w:w="166"/>
        <w:gridCol w:w="146"/>
        <w:gridCol w:w="196"/>
        <w:gridCol w:w="889"/>
        <w:gridCol w:w="613"/>
      </w:tblGrid>
      <w:tr>
        <w:trPr/>
        <w:tc>
          <w:tcPr>
            <w:tcW w:w="69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 and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396,486</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58,722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1,152</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475,107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458,105</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533</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2,936</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2,384</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481,053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464,126</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5,127</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19,764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24,814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8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25,171</w:t>
            </w:r>
          </w:p>
        </w:tc>
        <w:tc>
          <w:tcPr>
            <w:tcW w:w="6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liabilities,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653,894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600,547</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681,250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628,438</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Stockholders’ deficit</w:t>
            </w:r>
            <w:r>
              <w:rPr>
                <w:rFonts w:ascii="Times New Roman" w:hAnsi="Times New Roman"/>
                <w:color w:val="000000"/>
                <w:sz w:val="11"/>
              </w:rPr>
              <w:t>(1)</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Preferred stock, $0.0001</w:t>
            </w:r>
            <w:r>
              <w:rPr>
                <w:rFonts w:ascii="Times New Roman" w:hAnsi="Times New Roman"/>
                <w:color w:val="000000"/>
                <w:sz w:val="20"/>
              </w:rPr>
              <w:t> </w:t>
            </w:r>
            <w:r>
              <w:rPr>
                <w:rFonts w:ascii="Times New Roman" w:hAnsi="Times New Roman"/>
                <w:color w:val="000000"/>
                <w:sz w:val="16"/>
              </w:rPr>
              <w:t>par value; 10,000,000</w:t>
            </w:r>
            <w:r>
              <w:rPr>
                <w:rFonts w:ascii="Times New Roman" w:hAnsi="Times New Roman"/>
                <w:color w:val="000000"/>
                <w:sz w:val="20"/>
              </w:rPr>
              <w:t> </w:t>
            </w:r>
            <w:r>
              <w:rPr>
                <w:rFonts w:ascii="Times New Roman" w:hAnsi="Times New Roman"/>
                <w:color w:val="000000"/>
                <w:sz w:val="16"/>
              </w:rPr>
              <w:t>shares authorized as of June 30, 2026 and December 31, 2025; 0</w:t>
            </w:r>
            <w:r>
              <w:rPr>
                <w:rFonts w:ascii="Times New Roman" w:hAnsi="Times New Roman"/>
                <w:color w:val="000000"/>
                <w:sz w:val="20"/>
              </w:rPr>
              <w:t> </w:t>
            </w:r>
            <w:r>
              <w:rPr>
                <w:rFonts w:ascii="Times New Roman" w:hAnsi="Times New Roman"/>
                <w:color w:val="000000"/>
                <w:sz w:val="16"/>
              </w:rPr>
              <w:t>shares issued and outstanding as of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Common stock, $0.0001</w:t>
            </w:r>
            <w:r>
              <w:rPr>
                <w:rFonts w:ascii="Times New Roman" w:hAnsi="Times New Roman"/>
                <w:color w:val="000000"/>
                <w:sz w:val="20"/>
              </w:rPr>
              <w:t> </w:t>
            </w:r>
            <w:r>
              <w:rPr>
                <w:rFonts w:ascii="Times New Roman" w:hAnsi="Times New Roman"/>
                <w:color w:val="000000"/>
                <w:sz w:val="16"/>
              </w:rPr>
              <w:t>par value; 800,000,000</w:t>
            </w:r>
            <w:r>
              <w:rPr>
                <w:rFonts w:ascii="Times New Roman" w:hAnsi="Times New Roman"/>
                <w:color w:val="000000"/>
                <w:sz w:val="20"/>
              </w:rPr>
              <w:t> </w:t>
            </w:r>
            <w:r>
              <w:rPr>
                <w:rFonts w:ascii="Times New Roman" w:hAnsi="Times New Roman"/>
                <w:color w:val="000000"/>
                <w:sz w:val="16"/>
              </w:rPr>
              <w:t>and 400,000,000</w:t>
            </w:r>
            <w:r>
              <w:rPr>
                <w:rFonts w:ascii="Times New Roman" w:hAnsi="Times New Roman"/>
                <w:color w:val="000000"/>
                <w:sz w:val="20"/>
              </w:rPr>
              <w:t> </w:t>
            </w:r>
            <w:r>
              <w:rPr>
                <w:rFonts w:ascii="Times New Roman" w:hAnsi="Times New Roman"/>
                <w:color w:val="000000"/>
                <w:sz w:val="16"/>
              </w:rPr>
              <w:t>shares authorized as of June 30, 2026 and December 31, 2025, respectively; 54,455,751</w:t>
            </w:r>
            <w:r>
              <w:rPr>
                <w:rFonts w:ascii="Times New Roman" w:hAnsi="Times New Roman"/>
                <w:color w:val="000000"/>
                <w:sz w:val="20"/>
              </w:rPr>
              <w:t> </w:t>
            </w:r>
            <w:r>
              <w:rPr>
                <w:rFonts w:ascii="Times New Roman" w:hAnsi="Times New Roman"/>
                <w:color w:val="000000"/>
                <w:sz w:val="16"/>
              </w:rPr>
              <w:t>and 38,720,196</w:t>
            </w:r>
            <w:r>
              <w:rPr>
                <w:rFonts w:ascii="Times New Roman" w:hAnsi="Times New Roman"/>
                <w:color w:val="000000"/>
                <w:sz w:val="20"/>
              </w:rPr>
              <w:t> </w:t>
            </w:r>
            <w:r>
              <w:rPr>
                <w:rFonts w:ascii="Times New Roman" w:hAnsi="Times New Roman"/>
                <w:color w:val="000000"/>
                <w:sz w:val="16"/>
              </w:rPr>
              <w:t>shares issued and outstanding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1,236,073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988,604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(1,435,367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(1,152,975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(200,197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(164,312</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liabilities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481,053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464,126</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w:t>
      </w:r>
      <w:r>
        <w:rPr>
          <w:rFonts w:ascii="Times New Roman" w:hAnsi="Times New Roman"/>
          <w:color w:val="000000"/>
          <w:sz w:val="16"/>
        </w:rPr>
        <w:t>All share and per share amounts have been restated for prior periods on a retroactive basis to reflect a one-for-twenty</w:t>
      </w:r>
      <w:r>
        <w:rPr>
          <w:rFonts w:ascii="Times New Roman" w:hAnsi="Times New Roman"/>
          <w:color w:val="000000"/>
          <w:sz w:val="20"/>
        </w:rPr>
        <w:t xml:space="preserve"> </w:t>
      </w:r>
      <w:r>
        <w:rPr>
          <w:rFonts w:ascii="Times New Roman" w:hAnsi="Times New Roman"/>
          <w:color w:val="000000"/>
          <w:sz w:val="16"/>
        </w:rPr>
        <w:t>reverse stock split effected in September 2025. See Note 2 for details.</w:t>
      </w:r>
    </w:p>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VOR BIOPHARMA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5" w:name="consolidated_statements_operations_compr"/>
      <w:bookmarkEnd w:id="5"/>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24"/>
        <w:gridCol w:w="146"/>
        <w:gridCol w:w="196"/>
        <w:gridCol w:w="916"/>
        <w:gridCol w:w="166"/>
        <w:gridCol w:w="146"/>
        <w:gridCol w:w="196"/>
        <w:gridCol w:w="886"/>
        <w:gridCol w:w="166"/>
        <w:gridCol w:w="146"/>
        <w:gridCol w:w="196"/>
        <w:gridCol w:w="916"/>
        <w:gridCol w:w="166"/>
        <w:gridCol w:w="146"/>
        <w:gridCol w:w="196"/>
        <w:gridCol w:w="886"/>
        <w:gridCol w:w="611"/>
      </w:tblGrid>
      <w:tr>
        <w:trPr/>
        <w:tc>
          <w:tcPr>
            <w:tcW w:w="4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1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 and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288,200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19,375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274,284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83,013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307,575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(307,575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(1,299,922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(207,657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(1,299,922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41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(1,299,385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(199,379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(1,298,580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(1,573,669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(282,392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(1,606,155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Net loss per share attributable to common stockholders,</w:t>
              <w:br/>
              <w:t>   basic and diluted</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(256.88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Weighted-average common shares outstanding, </w:t>
              <w:br/>
              <w:t>   basic and diluted</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54,304,456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6,263,572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48,689,196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6,252,452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Unrealized loss on available for 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41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(1,573,678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(283,355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(1,606,163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40" w:after="283"/>
        <w:jc w:val="center"/>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w:t>
      </w:r>
      <w:r>
        <w:rPr>
          <w:rFonts w:ascii="Times New Roman" w:hAnsi="Times New Roman"/>
          <w:color w:val="000000"/>
          <w:sz w:val="16"/>
        </w:rPr>
        <w:t>All share and per share amounts have been restated for prior periods on a retroactive basis to reflect a one-for-twenty</w:t>
      </w:r>
      <w:r>
        <w:rPr>
          <w:rFonts w:ascii="Times New Roman" w:hAnsi="Times New Roman"/>
          <w:color w:val="000000"/>
          <w:sz w:val="20"/>
        </w:rPr>
        <w:t xml:space="preserve"> </w:t>
      </w:r>
      <w:r>
        <w:rPr>
          <w:rFonts w:ascii="Times New Roman" w:hAnsi="Times New Roman"/>
          <w:color w:val="000000"/>
          <w:sz w:val="16"/>
        </w:rPr>
        <w:t>reverse stock split effected in September 2025. See Note 2 for details.</w:t>
      </w:r>
    </w:p>
    <w:p>
      <w:pPr>
        <w:pStyle w:val="TextBody"/>
        <w:bidi w:val="0"/>
        <w:spacing w:before="40" w:after="283"/>
        <w:jc w:val="center"/>
        <w:rPr>
          <w:rFonts w:ascii="Times New Roman" w:hAnsi="Times New Roman"/>
          <w:sz w:val="20"/>
        </w:rPr>
      </w:pPr>
      <w:r>
        <w:rPr>
          <w:rFonts w:ascii="Times New Roman" w:hAnsi="Times New Roman"/>
          <w:i/>
          <w:color w:val="000000"/>
          <w:sz w:val="20"/>
        </w:rPr>
        <w:t>The accompanying notes are an integral part of these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0"/>
        </w:rPr>
        <w:t>Vor Biopharma Inc.</w:t>
      </w:r>
      <w:r>
        <w:rPr>
          <w:rFonts w:ascii="Times New Roman" w:hAnsi="Times New Roman"/>
          <w:caps/>
          <w:color w:val="000000"/>
          <w:sz w:val="20"/>
        </w:rPr>
        <w:t xml:space="preserve"> </w:t>
      </w:r>
    </w:p>
    <w:p>
      <w:pPr>
        <w:pStyle w:val="TextBody"/>
        <w:bidi w:val="0"/>
        <w:jc w:val="center"/>
        <w:rPr>
          <w:rFonts w:ascii="Times New Roman" w:hAnsi="Times New Roman"/>
          <w:b/>
          <w:caps/>
          <w:color w:val="000000"/>
          <w:sz w:val="20"/>
        </w:rPr>
      </w:pPr>
      <w:bookmarkStart w:id="6" w:name="consolidated_statements_redeemable_conve"/>
      <w:bookmarkEnd w:id="6"/>
      <w:r>
        <w:rPr>
          <w:rFonts w:ascii="Times New Roman" w:hAnsi="Times New Roman"/>
          <w:b/>
          <w:caps/>
          <w:color w:val="000000"/>
          <w:sz w:val="20"/>
        </w:rPr>
        <w:t>CONDENSED CONSOLIDATED Statements of stockholders’ EQUITY (DEFICIT)</w:t>
      </w:r>
    </w:p>
    <w:p>
      <w:pPr>
        <w:pStyle w:val="TextBody"/>
        <w:bidi w:val="0"/>
        <w:jc w:val="center"/>
        <w:rPr>
          <w:rFonts w:ascii="Times New Roman" w:hAnsi="Times New Roman"/>
          <w:b/>
          <w:caps/>
          <w:color w:val="000000"/>
          <w:sz w:val="20"/>
        </w:rPr>
      </w:pPr>
      <w:r>
        <w:rPr>
          <w:rFonts w:ascii="Times New Roman" w:hAnsi="Times New Roman"/>
          <w:b/>
          <w:caps/>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88"/>
        <w:gridCol w:w="146"/>
        <w:gridCol w:w="146"/>
        <w:gridCol w:w="646"/>
        <w:gridCol w:w="146"/>
        <w:gridCol w:w="146"/>
        <w:gridCol w:w="166"/>
        <w:gridCol w:w="346"/>
        <w:gridCol w:w="146"/>
        <w:gridCol w:w="146"/>
        <w:gridCol w:w="166"/>
        <w:gridCol w:w="586"/>
        <w:gridCol w:w="146"/>
        <w:gridCol w:w="146"/>
        <w:gridCol w:w="320"/>
        <w:gridCol w:w="667"/>
        <w:gridCol w:w="146"/>
        <w:gridCol w:w="146"/>
        <w:gridCol w:w="166"/>
        <w:gridCol w:w="616"/>
        <w:gridCol w:w="146"/>
        <w:gridCol w:w="146"/>
        <w:gridCol w:w="175"/>
        <w:gridCol w:w="557"/>
        <w:gridCol w:w="354"/>
      </w:tblGrid>
      <w:tr>
        <w:trPr/>
        <w:tc>
          <w:tcPr>
            <w:tcW w:w="36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3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0"/>
              </w:rPr>
            </w:pPr>
            <w:r>
              <w:rPr>
                <w:rFonts w:ascii="Times New Roman" w:hAnsi="Times New Roman"/>
                <w:b/>
                <w:color w:val="000000"/>
                <w:sz w:val="10"/>
              </w:rPr>
              <w:t>Common</w:t>
              <w:br/>
              <w:t>Stock</w:t>
            </w:r>
            <w:r>
              <w:rPr>
                <w:rFonts w:ascii="Times New Roman" w:hAnsi="Times New Roman"/>
                <w:b/>
                <w:color w:val="000000"/>
                <w:sz w:val="7"/>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 xml:space="preserve">Accumulated other </w:t>
              <w:b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Total</w:t>
              <w:br/>
              <w:t>Stockholders’</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(in thousands, except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Deficit</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38,720,196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988,604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(1,152,975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(164,312</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w:t>
            </w:r>
          </w:p>
        </w:tc>
      </w:tr>
      <w:tr>
        <w:trPr/>
        <w:tc>
          <w:tcPr>
            <w:tcW w:w="368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Issuance of common stock upon vesting of RSUs, net of shares withheld for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w:t>
            </w:r>
          </w:p>
        </w:tc>
      </w:tr>
      <w:tr>
        <w:trPr/>
        <w:tc>
          <w:tcPr>
            <w:tcW w:w="368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Issuance of common stock from private placement,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5,338,078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74,906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74,906</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68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8,870</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68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Issuance of common stock from 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10,126,956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150,446</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68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(747</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w:t>
            </w:r>
          </w:p>
        </w:tc>
      </w:tr>
      <w:tr>
        <w:trPr/>
        <w:tc>
          <w:tcPr>
            <w:tcW w:w="368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(219,582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(219,582</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6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54,185,582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1,222,823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6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(1,372,557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(150,421</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w:t>
            </w:r>
          </w:p>
        </w:tc>
      </w:tr>
      <w:tr>
        <w:trPr/>
        <w:tc>
          <w:tcPr>
            <w:tcW w:w="368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Issuance of common stock upon vesting of RSUs, net of shares withheld for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w:t>
            </w:r>
          </w:p>
        </w:tc>
      </w:tr>
      <w:tr>
        <w:trPr/>
        <w:tc>
          <w:tcPr>
            <w:tcW w:w="368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Issuance costs for private placement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w:t>
            </w:r>
          </w:p>
        </w:tc>
      </w:tr>
      <w:tr>
        <w:trPr/>
        <w:tc>
          <w:tcPr>
            <w:tcW w:w="368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9,399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9,399</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68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Issuance of common stock from 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269,874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3,867</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68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(216</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w:t>
            </w:r>
          </w:p>
        </w:tc>
      </w:tr>
      <w:tr>
        <w:trPr/>
        <w:tc>
          <w:tcPr>
            <w:tcW w:w="368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(62,810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(62,810</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6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54,455,751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1,236,073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6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(1,435,367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(200,197</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bl>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720"/>
        <w:gridCol w:w="146"/>
        <w:gridCol w:w="586"/>
        <w:gridCol w:w="146"/>
        <w:gridCol w:w="146"/>
        <w:gridCol w:w="166"/>
        <w:gridCol w:w="346"/>
        <w:gridCol w:w="146"/>
        <w:gridCol w:w="146"/>
        <w:gridCol w:w="166"/>
        <w:gridCol w:w="496"/>
        <w:gridCol w:w="146"/>
        <w:gridCol w:w="146"/>
        <w:gridCol w:w="389"/>
        <w:gridCol w:w="813"/>
        <w:gridCol w:w="146"/>
        <w:gridCol w:w="146"/>
        <w:gridCol w:w="166"/>
        <w:gridCol w:w="616"/>
        <w:gridCol w:w="146"/>
        <w:gridCol w:w="146"/>
        <w:gridCol w:w="166"/>
        <w:gridCol w:w="616"/>
        <w:gridCol w:w="353"/>
      </w:tblGrid>
      <w:tr>
        <w:trPr/>
        <w:tc>
          <w:tcPr>
            <w:tcW w:w="37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3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Accumulated other 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Total</w:t>
              <w:br/>
              <w:t>Stockholders’</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(in thousands, except share amounts)</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Equity</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6,238,799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553,623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(456,994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96,664</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7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Issuance of common stock upon vesting of RSUs, net of shares withheld for taxes, and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3,769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(55</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w:t>
            </w:r>
          </w:p>
        </w:tc>
      </w:tr>
      <w:tr>
        <w:trPr/>
        <w:tc>
          <w:tcPr>
            <w:tcW w:w="37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Issuance costs for private placement</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7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1,933</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7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7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(32,486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(32,486</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Balance at March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6,242,568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555,513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(489,480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66,069</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37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Issuance of common stock upon vesting of RSUs, net of shares withheld for taxes, exercise of stock options, and issuance of common stock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39,720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65</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7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1,844</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7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w:t>
            </w:r>
          </w:p>
        </w:tc>
      </w:tr>
      <w:tr>
        <w:trPr/>
        <w:tc>
          <w:tcPr>
            <w:tcW w:w="37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(1,573,669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(1,573,669</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Balance at June 30,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6,282,288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557,422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(2,063,149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(1,505,700</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bl>
    <w:p>
      <w:pPr>
        <w:pStyle w:val="TextBody"/>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w:t>
      </w:r>
      <w:r>
        <w:rPr>
          <w:rFonts w:ascii="Times New Roman" w:hAnsi="Times New Roman"/>
          <w:color w:val="000000"/>
          <w:sz w:val="16"/>
        </w:rPr>
        <w:t>All share and per share amounts have been restated for prior periods on a retroactive basis to reflect a one-for-twenty</w:t>
      </w:r>
      <w:r>
        <w:rPr>
          <w:rFonts w:ascii="Times New Roman" w:hAnsi="Times New Roman"/>
          <w:color w:val="000000"/>
          <w:sz w:val="20"/>
        </w:rPr>
        <w:t xml:space="preserve"> </w:t>
      </w:r>
      <w:r>
        <w:rPr>
          <w:rFonts w:ascii="Times New Roman" w:hAnsi="Times New Roman"/>
          <w:color w:val="000000"/>
          <w:sz w:val="16"/>
        </w:rPr>
        <w:t>reverse stock split effected in September 2025. See Note 2 for details.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0"/>
        </w:rPr>
        <w:t>Vor Biopharma Inc.</w:t>
      </w:r>
      <w:r>
        <w:rPr>
          <w:rFonts w:ascii="Times New Roman" w:hAnsi="Times New Roman"/>
          <w:caps/>
          <w:color w:val="000000"/>
          <w:sz w:val="20"/>
        </w:rPr>
        <w:t xml:space="preserve"> </w:t>
      </w:r>
    </w:p>
    <w:p>
      <w:pPr>
        <w:pStyle w:val="TextBody"/>
        <w:bidi w:val="0"/>
        <w:jc w:val="center"/>
        <w:rPr>
          <w:rFonts w:ascii="Times New Roman" w:hAnsi="Times New Roman"/>
          <w:b/>
          <w:caps/>
          <w:color w:val="000000"/>
          <w:sz w:val="20"/>
        </w:rPr>
      </w:pPr>
      <w:bookmarkStart w:id="7" w:name="condensed_consolidated_statements_cash_f"/>
      <w:bookmarkEnd w:id="7"/>
      <w:r>
        <w:rPr>
          <w:rFonts w:ascii="Times New Roman" w:hAnsi="Times New Roman"/>
          <w:b/>
          <w:caps/>
          <w:color w:val="000000"/>
          <w:sz w:val="20"/>
        </w:rPr>
        <w:t>condensed CONSOLIDATED StatementS of Cash Flows</w:t>
      </w:r>
    </w:p>
    <w:p>
      <w:pPr>
        <w:pStyle w:val="TextBody"/>
        <w:bidi w:val="0"/>
        <w:jc w:val="center"/>
        <w:rPr>
          <w:rFonts w:ascii="Times New Roman" w:hAnsi="Times New Roman"/>
          <w:sz w:val="20"/>
        </w:rPr>
      </w:pPr>
      <w:r>
        <w:rPr>
          <w:rFonts w:ascii="Times New Roman" w:hAnsi="Times New Roman"/>
          <w:b/>
          <w:caps/>
          <w:color w:val="000000"/>
          <w:sz w:val="20"/>
        </w:rPr>
        <w:t>(unaudited)</w:t>
      </w:r>
      <w:r>
        <w:rPr>
          <w:rFonts w:ascii="Times New Roman" w:hAnsi="Times New Roman"/>
          <w:caps/>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27"/>
        <w:gridCol w:w="146"/>
        <w:gridCol w:w="196"/>
        <w:gridCol w:w="751"/>
        <w:gridCol w:w="166"/>
        <w:gridCol w:w="146"/>
        <w:gridCol w:w="196"/>
        <w:gridCol w:w="886"/>
        <w:gridCol w:w="991"/>
      </w:tblGrid>
      <w:tr>
        <w:trPr/>
        <w:tc>
          <w:tcPr>
            <w:tcW w:w="6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(1,606,155</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7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2,862</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2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5,480</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3,777</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2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1,299,922</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Interest amortization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72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Loss on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3,303</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Acquisition of in-process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222,592</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2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Operating lease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(2,327</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72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2,632</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Accounts payable, accrued liabilities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72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1,963</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(66,250</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7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sales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799</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(299,771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 of issuance costs related to private placements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7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the issuance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175,000</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stock option exercises and the issuance of shares under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Repurchases of shares for tax withholdings upon vesting of restricted stock unit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7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issuance of common stock in private placement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74,999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174,459</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(decrease) increase in cash, cash equivalents and restricted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(288,631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108,625</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 xml:space="preserve">Cash, cash equivalents and restricted cash equivalents, </w:t>
              <w:br/>
              <w: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396,654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84,362</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cash equivalents and restricted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192,987</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non-cash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property and equipment in 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Unrealized loss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Unpaid license payments included in 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45,000</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costs associated with the sale of pre-funded warrants included in 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reconciliation of the cash, cash equivalents and restricted cash equivalents reported within the condensed consolidated balance sheets that sum to the total of the same amounts shown in the condensed consolidated statements of cash flows is as follows: </w:t>
      </w:r>
    </w:p>
    <w:tbl>
      <w:tblPr>
        <w:tblW w:w="8375" w:type="dxa"/>
        <w:jc w:val="left"/>
        <w:tblInd w:w="0" w:type="dxa"/>
        <w:tblLayout w:type="fixed"/>
        <w:tblCellMar>
          <w:top w:w="28" w:type="dxa"/>
          <w:left w:w="28" w:type="dxa"/>
          <w:bottom w:w="28" w:type="dxa"/>
          <w:right w:w="28" w:type="dxa"/>
        </w:tblCellMar>
      </w:tblPr>
      <w:tblGrid>
        <w:gridCol w:w="5386"/>
        <w:gridCol w:w="146"/>
        <w:gridCol w:w="251"/>
        <w:gridCol w:w="888"/>
        <w:gridCol w:w="187"/>
        <w:gridCol w:w="187"/>
        <w:gridCol w:w="251"/>
        <w:gridCol w:w="888"/>
        <w:gridCol w:w="191"/>
      </w:tblGrid>
      <w:tr>
        <w:trPr/>
        <w:tc>
          <w:tcPr>
            <w:tcW w:w="5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107,855</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190,574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Total cash, cash equivalents and restricted cash equivalents as shown on the </w:t>
              <w:br/>
              <w:t>   statements of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108,023</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192,987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VOR BIOPHARMA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notes_to_condensed_consolidated"/>
      <w:bookmarkEnd w:id="8"/>
      <w:r>
        <w:rPr>
          <w:rFonts w:ascii="Times New Roman" w:hAnsi="Times New Roman"/>
          <w:b/>
          <w:color w:val="000000"/>
          <w:sz w:val="20"/>
        </w:rPr>
        <w:t>NOTES TO CONDENSED</w:t>
      </w:r>
      <w:r>
        <w:rPr>
          <w:rFonts w:ascii="Times New Roman" w:hAnsi="Times New Roman"/>
          <w:color w:val="000000"/>
          <w:sz w:val="20"/>
        </w:rPr>
        <w:t xml:space="preserve"> </w:t>
      </w:r>
      <w:r>
        <w:rPr>
          <w:rFonts w:ascii="Times New Roman" w:hAnsi="Times New Roman"/>
          <w:b/>
          <w:color w:val="000000"/>
          <w:sz w:val="20"/>
        </w:rPr>
        <w:t>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sz w:val="20"/>
        </w:rPr>
      </w:pPr>
      <w:r>
        <w:rPr>
          <w:rFonts w:ascii="Times New Roman" w:hAnsi="Times New Roman"/>
          <w:b/>
          <w:color w:val="000000"/>
          <w:sz w:val="20"/>
        </w:rPr>
        <w:t>1. Nature of the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Vor Biopharma Inc. (the “Company”) is a clinical-stage company advancing telitacicept, a novel, dual-target recombinant fusion protein that inhibits both BLyS (BAFF) and APRIL—two key cytokines involved in B cell survival and autoantibody production. This dual-target mechanism reduces autoreactive B cells and autoantibody production, key drivers of autoimmune pathology. The Company is headquartered in Boston, Massachusetts. The Company was incorporated on December 30, 2015. </w:t>
      </w:r>
    </w:p>
    <w:p>
      <w:pPr>
        <w:pStyle w:val="TextBody"/>
        <w:bidi w:val="0"/>
        <w:spacing w:before="240" w:after="283"/>
        <w:jc w:val="left"/>
        <w:rPr>
          <w:rFonts w:ascii="Times New Roman" w:hAnsi="Times New Roman"/>
          <w:sz w:val="20"/>
        </w:rPr>
      </w:pPr>
      <w:r>
        <w:rPr>
          <w:rFonts w:ascii="Times New Roman" w:hAnsi="Times New Roman"/>
          <w:b/>
          <w:i/>
          <w:color w:val="000000"/>
          <w:sz w:val="20"/>
        </w:rPr>
        <w:t>Risks and Uncertainties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a number of risks common to development stage companies in the biotechnology industry, including, but not limited to, risks of failure of clinical trials, dependence on key personnel, protection of proprietary technology, reliance on third party organizations, uncertainty of obtaining regulatory approval for any product candidate that it may develop, development by competitors of technological innovations, compliance with government regulations, adverse macroeconomic conditions and the need to obtain additional financing.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expects that its existing cash, cash equivalents and marketable securities as of June 30, 2026 of $466.1 million will be sufficient to allow the Company to fund its current planned operations through at least a period of one year after the date the financial statements are issued.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has an accumulated deficit of $1,435.4 million. The Company anticipates that it will continue to incur significant operating losses for the next several years as it continues to develop its product candidate. As a result, the Company's continued operations are dependent on its ability to raise additional funding. If the Company is unable to obtain additional funding on a timely basis, it may be forced to significantly curtail, delay, or discontinue one or more of its planned research or development programs or be unable to expand its operations.</w:t>
      </w:r>
    </w:p>
    <w:p>
      <w:pPr>
        <w:pStyle w:val="TextBody"/>
        <w:bidi w:val="0"/>
        <w:spacing w:before="24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Updates issued by the Financial Accounting Standards Board.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September 2025 Reverse Stock Split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25, 2025, the Company’s stockholders approved a proposal to authorize the Company’s board of directors to amend the Company’s Amended and Restated Certificate of Incorporation to effect a reverse stock split. The Board approved the reverse stock split on August 27, 2025 and, on September 18, 2025, the Company effected a 1-for-20 reverse stock split of its common stock. The par value and the number of authorized shares of the common stock were not adjusted as a result of the reverse stock split. All share and per share amounts for periods prior to the effective date presented in these condensed consolidated financial statements and the notes thereto have been adjusted retroactively, where applicable, to reflect the effect of this reverse stock split.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the condensed consolidated financial statements in conformity with GAAP requires the Company’s management to make estimates and assumptions that affect the reported amounts of assets and liabilities at the date of the condensed consolidated financial statements and the reported amount of expenses during the reporting period. Actual results could differ from those estimates. Management considers many factors in selecting appropriate financial accounting policies in developing the estimates and assumptions that are used in the preparation of the condensed consolidated financial statements. Management must apply significant judgment in this process. Management’s estimation process often may yield a range of potentially reasonable estimates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management must select an amount that falls within that range of reasonable estimates. Estimates are used in the following areas, among others: accrued expenses and stock-based compensation expense.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Unaudited Interim Financial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condensed consolidated financial statements of the Company included herein have been prepared pursuant to the rules and regulations of the Securities and Exchange Commission (the “SEC”). The unaudited condensed consolidated financial statements include the accounts of the Company and its wholly owned subsidiary. All intercompany transactions and balances have been eliminated in consolidation. In the opinion of management, the information furnished reflects all adjustments, all of which are of a normal and recurring nature, necessary for a fair presentation of the results for the reported interim periods. The results of operations for interim periods are not necessarily indicative of results to be expected for the full year or any other interim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condensed consolidated balance sheet as of December 31, 2025 has been derived from the Company’s audited consolidated financial statements for the year ended December 31, 2025. Certain information and footnote disclosures normally included in financial statements prepared in accordance with GAAP have been condensed or omitted pursuant to GAAP or the rules and regulations of the SEC. However, the Company believes that the disclosures are adequate to make the information presented not misleading. These unaudited interim condensed consolidated financial statements should be read in conjunction with the audited annual consolidated financial statements and related notes included in the Company’s Annual Report on Form 10-K for the year ended December 31, 2025 (the “2025 Annual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the Company’s significant accounting policies as described in the 2025 Annual Report.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Marketable Securities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amortized cost and estimated fair value of marketable securities, by remaining contractual maturity, are as follows:</w:t>
      </w:r>
    </w:p>
    <w:tbl>
      <w:tblPr>
        <w:tblW w:w="10205" w:type="dxa"/>
        <w:jc w:val="left"/>
        <w:tblInd w:w="0" w:type="dxa"/>
        <w:tblLayout w:type="fixed"/>
        <w:tblCellMar>
          <w:top w:w="28" w:type="dxa"/>
          <w:left w:w="28" w:type="dxa"/>
          <w:bottom w:w="28" w:type="dxa"/>
          <w:right w:w="28" w:type="dxa"/>
        </w:tblCellMar>
      </w:tblPr>
      <w:tblGrid>
        <w:gridCol w:w="2816"/>
        <w:gridCol w:w="146"/>
        <w:gridCol w:w="244"/>
        <w:gridCol w:w="903"/>
        <w:gridCol w:w="146"/>
        <w:gridCol w:w="146"/>
        <w:gridCol w:w="698"/>
        <w:gridCol w:w="1149"/>
        <w:gridCol w:w="146"/>
        <w:gridCol w:w="146"/>
        <w:gridCol w:w="568"/>
        <w:gridCol w:w="1297"/>
        <w:gridCol w:w="166"/>
        <w:gridCol w:w="146"/>
        <w:gridCol w:w="211"/>
        <w:gridCol w:w="781"/>
        <w:gridCol w:w="496"/>
      </w:tblGrid>
      <w:tr>
        <w:trPr/>
        <w:tc>
          <w:tcPr>
            <w:tcW w:w="2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Holding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Holding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Maturing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64,483</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8,424</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Yankee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130,835</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45,908</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Maturing after one year through five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47,955</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58,174</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359,196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358,274</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pPr>
      <w:r>
        <w:rPr/>
        <w:t> </w:t>
      </w:r>
    </w:p>
    <w:tbl>
      <w:tblPr>
        <w:tblW w:w="10205" w:type="dxa"/>
        <w:jc w:val="left"/>
        <w:tblInd w:w="0" w:type="dxa"/>
        <w:tblLayout w:type="fixed"/>
        <w:tblCellMar>
          <w:top w:w="28" w:type="dxa"/>
          <w:left w:w="28" w:type="dxa"/>
          <w:bottom w:w="28" w:type="dxa"/>
          <w:right w:w="28" w:type="dxa"/>
        </w:tblCellMar>
      </w:tblPr>
      <w:tblGrid>
        <w:gridCol w:w="2851"/>
        <w:gridCol w:w="146"/>
        <w:gridCol w:w="266"/>
        <w:gridCol w:w="854"/>
        <w:gridCol w:w="146"/>
        <w:gridCol w:w="146"/>
        <w:gridCol w:w="761"/>
        <w:gridCol w:w="1144"/>
        <w:gridCol w:w="146"/>
        <w:gridCol w:w="146"/>
        <w:gridCol w:w="728"/>
        <w:gridCol w:w="1197"/>
        <w:gridCol w:w="146"/>
        <w:gridCol w:w="146"/>
        <w:gridCol w:w="211"/>
        <w:gridCol w:w="676"/>
        <w:gridCol w:w="495"/>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Holding Gains</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Holding Losses</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49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Maturing in one year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25,788</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13,642</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Maturing after one year through five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19,292</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58,681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58,722</w:t>
            </w:r>
          </w:p>
        </w:tc>
        <w:tc>
          <w:tcPr>
            <w:tcW w:w="49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the fair value of the Company’s securities that were in an unrealized loss position as of June 30, 2026, and the total unrealized loss by each type of security. The Company did not record any impairments to marketable securities or reserves for credit losses related to its marketable debt securities during the periods presented. There were no securities in an unrealized loss position as of December 31, 2025.</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29"/>
        <w:gridCol w:w="146"/>
        <w:gridCol w:w="211"/>
        <w:gridCol w:w="781"/>
        <w:gridCol w:w="146"/>
        <w:gridCol w:w="146"/>
        <w:gridCol w:w="346"/>
        <w:gridCol w:w="791"/>
        <w:gridCol w:w="166"/>
        <w:gridCol w:w="146"/>
        <w:gridCol w:w="306"/>
        <w:gridCol w:w="502"/>
        <w:gridCol w:w="210"/>
        <w:gridCol w:w="210"/>
        <w:gridCol w:w="430"/>
        <w:gridCol w:w="708"/>
        <w:gridCol w:w="146"/>
        <w:gridCol w:w="146"/>
        <w:gridCol w:w="211"/>
        <w:gridCol w:w="781"/>
        <w:gridCol w:w="146"/>
        <w:gridCol w:w="146"/>
        <w:gridCol w:w="346"/>
        <w:gridCol w:w="791"/>
        <w:gridCol w:w="518"/>
      </w:tblGrid>
      <w:tr>
        <w:trPr/>
        <w:tc>
          <w:tcPr>
            <w:tcW w:w="17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1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twelve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than twelve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7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7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7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5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7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Yankee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1729"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w:t>
            </w:r>
          </w:p>
        </w:tc>
        <w:tc>
          <w:tcPr>
            <w:tcW w:w="5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4. Fair Value Measurements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following tables present information about the Company’s financial assets and liabilities measured at fair value on a recurring basis: </w:t>
      </w:r>
    </w:p>
    <w:tbl>
      <w:tblPr>
        <w:tblW w:w="7730" w:type="dxa"/>
        <w:jc w:val="left"/>
        <w:tblInd w:w="0" w:type="dxa"/>
        <w:tblLayout w:type="fixed"/>
        <w:tblCellMar>
          <w:top w:w="28" w:type="dxa"/>
          <w:left w:w="28" w:type="dxa"/>
          <w:bottom w:w="28" w:type="dxa"/>
          <w:right w:w="28" w:type="dxa"/>
        </w:tblCellMar>
      </w:tblPr>
      <w:tblGrid>
        <w:gridCol w:w="2611"/>
        <w:gridCol w:w="146"/>
        <w:gridCol w:w="211"/>
        <w:gridCol w:w="781"/>
        <w:gridCol w:w="146"/>
        <w:gridCol w:w="146"/>
        <w:gridCol w:w="211"/>
        <w:gridCol w:w="781"/>
        <w:gridCol w:w="146"/>
        <w:gridCol w:w="146"/>
        <w:gridCol w:w="239"/>
        <w:gridCol w:w="391"/>
        <w:gridCol w:w="146"/>
        <w:gridCol w:w="146"/>
        <w:gridCol w:w="211"/>
        <w:gridCol w:w="781"/>
        <w:gridCol w:w="4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106,896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106,896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106,896</w:t>
            </w:r>
          </w:p>
        </w:tc>
        <w:tc>
          <w:tcPr>
            <w:tcW w:w="4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112,438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45,908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189,009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Yankee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358,274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Restricted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653,894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7730" w:type="dxa"/>
        <w:jc w:val="left"/>
        <w:tblInd w:w="0" w:type="dxa"/>
        <w:tblLayout w:type="fixed"/>
        <w:tblCellMar>
          <w:top w:w="28" w:type="dxa"/>
          <w:left w:w="28" w:type="dxa"/>
          <w:bottom w:w="28" w:type="dxa"/>
          <w:right w:w="28" w:type="dxa"/>
        </w:tblCellMar>
      </w:tblPr>
      <w:tblGrid>
        <w:gridCol w:w="2611"/>
        <w:gridCol w:w="146"/>
        <w:gridCol w:w="211"/>
        <w:gridCol w:w="781"/>
        <w:gridCol w:w="146"/>
        <w:gridCol w:w="146"/>
        <w:gridCol w:w="211"/>
        <w:gridCol w:w="781"/>
        <w:gridCol w:w="146"/>
        <w:gridCol w:w="146"/>
        <w:gridCol w:w="239"/>
        <w:gridCol w:w="391"/>
        <w:gridCol w:w="146"/>
        <w:gridCol w:w="146"/>
        <w:gridCol w:w="211"/>
        <w:gridCol w:w="781"/>
        <w:gridCol w:w="4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392,803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396,237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58,722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58,722</w:t>
            </w:r>
          </w:p>
        </w:tc>
        <w:tc>
          <w:tcPr>
            <w:tcW w:w="4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Restricted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600,547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600,547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Company’s cash equivalents and restricted cash equivalents is determined based on quoted market prices in active markets with no valuation adjustment. The fair value of marketable securities and warrant liabilities is determined based on observable market inputs. There were no transfers between levels during the six months ended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Prepaid expenses, accounts payable and accrued expenses are stated at their respective historical carrying values, which approximate fair value due to their short-term nature.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5. 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net consisted of the following: </w:t>
      </w:r>
    </w:p>
    <w:p>
      <w:pPr>
        <w:pStyle w:val="TextBody"/>
        <w:bidi w:val="0"/>
        <w:spacing w:before="120" w:after="283"/>
        <w:jc w:val="left"/>
        <w:rPr/>
      </w:pPr>
      <w:r>
        <w:rPr/>
        <w:t> </w:t>
      </w:r>
    </w:p>
    <w:tbl>
      <w:tblPr>
        <w:tblW w:w="5573" w:type="dxa"/>
        <w:jc w:val="left"/>
        <w:tblInd w:w="0" w:type="dxa"/>
        <w:tblLayout w:type="fixed"/>
        <w:tblCellMar>
          <w:top w:w="28" w:type="dxa"/>
          <w:left w:w="28" w:type="dxa"/>
          <w:bottom w:w="28" w:type="dxa"/>
          <w:right w:w="28" w:type="dxa"/>
        </w:tblCellMar>
      </w:tblPr>
      <w:tblGrid>
        <w:gridCol w:w="2731"/>
        <w:gridCol w:w="146"/>
        <w:gridCol w:w="211"/>
        <w:gridCol w:w="146"/>
        <w:gridCol w:w="421"/>
        <w:gridCol w:w="166"/>
        <w:gridCol w:w="146"/>
        <w:gridCol w:w="364"/>
        <w:gridCol w:w="731"/>
        <w:gridCol w:w="51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fixtures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2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5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An immaterial amount of depreciation was recognized during the three and six months ended June 30, 2026. Depreciation expense for the three and six months ended June 30, 2025 was $2.1 and $2.9 million, respectively.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 Accrued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liabilities consisted of the following: </w:t>
      </w:r>
    </w:p>
    <w:p>
      <w:pPr>
        <w:pStyle w:val="TextBody"/>
        <w:bidi w:val="0"/>
        <w:jc w:val="left"/>
        <w:rPr/>
      </w:pPr>
      <w:r>
        <w:rPr/>
        <w:t> </w:t>
      </w:r>
    </w:p>
    <w:tbl>
      <w:tblPr>
        <w:tblW w:w="6422" w:type="dxa"/>
        <w:jc w:val="left"/>
        <w:tblInd w:w="0" w:type="dxa"/>
        <w:tblLayout w:type="fixed"/>
        <w:tblCellMar>
          <w:top w:w="28" w:type="dxa"/>
          <w:left w:w="28" w:type="dxa"/>
          <w:bottom w:w="28" w:type="dxa"/>
          <w:right w:w="28" w:type="dxa"/>
        </w:tblCellMar>
      </w:tblPr>
      <w:tblGrid>
        <w:gridCol w:w="3511"/>
        <w:gridCol w:w="146"/>
        <w:gridCol w:w="211"/>
        <w:gridCol w:w="676"/>
        <w:gridCol w:w="146"/>
        <w:gridCol w:w="146"/>
        <w:gridCol w:w="260"/>
        <w:gridCol w:w="835"/>
        <w:gridCol w:w="4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8,466</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19,764</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Stockholders' Equity and Warrants</w:t>
      </w:r>
    </w:p>
    <w:p>
      <w:pPr>
        <w:pStyle w:val="TextBody"/>
        <w:bidi w:val="0"/>
        <w:spacing w:before="240" w:after="283"/>
        <w:jc w:val="left"/>
        <w:rPr>
          <w:rFonts w:ascii="Times New Roman" w:hAnsi="Times New Roman"/>
          <w:sz w:val="20"/>
        </w:rPr>
      </w:pPr>
      <w:r>
        <w:rPr>
          <w:rFonts w:ascii="Times New Roman" w:hAnsi="Times New Roman"/>
          <w:b/>
          <w:i/>
          <w:color w:val="000000"/>
          <w:sz w:val="20"/>
        </w:rPr>
        <w:t>2024 Private Placement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27, 2024, the Company entered into a purchase agreement with certain institutional investors (collectively, the “2024 Purchasers”), pursuant to which the Company issued and sold to the 2024 Purchasers in a private placement an aggregate of (i) 2,793,562 shares of the Company's common stock and (ii) warrants to purchase up to 3,491,953 shares of the Company's common stock (the “2024 Warrants”) at the closing of the private placement on December 30, 2024. Net proceeds from the private placement were $52.7 million, after deducting placement fees and issuance costs payable by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2024 Warrants have an exercise price of $16.76 per share and are immediately exercisable, subject to certain limitations on exercise set forth in the 2024 Warrants. The 2024 Warrants will terminate seven years from issuance on December 30, 2031.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determined that the 2024 Warrants are freestanding instruments that do not meet the definition of a liability or derivative. The 2024 Warrants are indexed to the Company’s common stock and meet all other conditions for equity classification. Accordingly, the 2024 Warrants were classified as equity and accounted for as a component of additional paid-in capital at the time issued. The Company also determined that the 2024 Warrants should be included in the determination of diluted net loss per share if their impact is dilutive. However, they are not included within diluted net loss per share for the three and six months ended June 30, 2026 or 2025 as their effect would be antidilutive.</w:t>
        <w:b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2026, none of the 2024 Warrants have been exercised.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June 2025 Private Placement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25, 2025, the Company entered into a purchase agreement with certain institutional investors (collectively, the “2025 Purchasers”), pursuant to which the Company issued and sold to the 2025 Purchasers in a private placement warrants to purchase up to an aggregate of 34,999,999 shares of the Company’s common stock (the “2025 PIPE Warrants”) at the closing on June 27, 2025. Net proceeds from the private placement were $174.4 million, after deducting issuance costs payable by the Company. In addition to the 2025 PIPE Warrants, on June 25, 2025 the Company issued a warrant to purchase up to 16,000,000 shares of the Company’s common stock as partial consideration for the Telitacicept License Agreement (as defined below) to a subsidiary of RemeGen Co., Ltd.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(“RemeGen Warrant”). Refer to Note 10 for additional information on the license arrangement. The 2025 PIPE Warrants and RemeGen Warrant are collectively referred to as the 2025 Warrants.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2025 Warrants have an exercise price of $0.002 per share and became exercisable upon stockholder approval of the issuance of the underlying shares and an amendment to the certificate of incorporation to increase the number of authorized shares, subject to certain limitations on exercise set forth in the 2025 Warrants. On August 25, 2025, the stockholders approved the issuance of the underlying shares and on September 17, 2025, the Company filed a Certificate of Amendment to its Amended and Restated Certificate of Incorporation with the Secretary of State of the State of Delaware to effect a reverse stock split, resulting in sufficient available authorized shares for warrant holders to exercise the 2025 Warrants. The 2025 Warrants do not expire.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issuance, the 2025 Warrants were liability-classified as they are not considered indexed to the Company’s common stock. The 2025 Warrants are measured at fair value each period with changes in fair value presented within the condensed consolidated statements of operations and comprehensive loss. The valuation of the 2025 Warrants is classified within Level 2 of the fair value hierarchy due to the use of observable market inputs, primarily the quoted price of the Company’s common stock underlying the warrants. The initial carrying value of the 2025 PIPE Warrants and the RemeGen Warrant at issuance was $175.0 million and $177.4 million, respectively. Issuance costs related to the 2025 PIPE Warrants were expensed as incurred.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also determined the 2025 Warrants should be included in the determination of diluted net loss per share if their impact is dilutive. However, they are not included within diluted net loss per share for the three and six months ended June 30, 2026 and 2025 as the effect would be antidilutive.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six months ended June 30, 2026, 269,912 and 10,398,099, respectively, of the 2025 Warrants were exercised for an immaterial amount of net proceeds. Some of the exercises were completed via cashless exercise, which resulted in slightly less shares issued than warrants exercised for such transactions. The remaining 35,522,260 outstanding 2025 Warrants had a fair value of $653.9 million as of June 30,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November 2025 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10, 2025, the Company entered into an underwriting agreement relating to the issuance and sale in a public offering of 11,500,000 shares of the Company’s common stock, including 1,500,000 shares purchased by the underwriters under a 30-day option to purchase additional shares (the “November 2025 Offering”) at a public offering price of $10.00 per share. The net proceeds to the Company from the November 2025 Offering were $107.7 million after deducting the underwriting discounts and commissions and offering expenses.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December 2025 Private Placement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December 15, 2025, the Company entered into a securities purchase agreement with certain investors pursuant to which the Company, in a private placement, issued and sold an aggregate of 13,876,032 shares of common stock, at a price per share of $10.81, for net proceeds of $149.9 million after deducting offering expenses (the “December 2025 Private Placement”).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March 2026 Private Placement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March 26, 2026 the Company entered into a securities purchase agreement with entities affiliated with TCG Crossover Management, LLC (“TCGX”) pursuant to which the Company, in a private placement, issued and sold an aggregate of 5,338,078 shares of common stock, at a price per share of $14.05, for net proceeds of $74.9 million after deducting offering expenses (the “March 2026 Private Placement”). The private placement closed on March 30, 2026.</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8. Stock-Based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2023 Inducement Plan</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As of June 30, 2026, the Company had 2,274,893 shares of its common stock available for future issuance under the 2023 Inducement Plan. </w:t>
      </w:r>
    </w:p>
    <w:p>
      <w:pPr>
        <w:pStyle w:val="TextBody"/>
        <w:bidi w:val="0"/>
        <w:jc w:val="left"/>
        <w:rPr>
          <w:rFonts w:ascii="Times New Roman" w:hAnsi="Times New Roman"/>
          <w:sz w:val="20"/>
        </w:rPr>
      </w:pPr>
      <w:r>
        <w:rPr>
          <w:rFonts w:ascii="Times New Roman" w:hAnsi="Times New Roman"/>
          <w:b/>
          <w:i/>
          <w:color w:val="000000"/>
          <w:sz w:val="20"/>
        </w:rPr>
        <w:t>Amended and Restated 2021 Equity Incentive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had 517,674 shares of its common stock available for future issuance under its Amended and Restated 2021 Equity Incentive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Stock Options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Company’s stock options generally vest ratably over a four-year period and have a contractual term of ten years. The weighted-average assumptions used principally in determining the fair value of new options granted during the periods presented were as follows: </w:t>
      </w:r>
    </w:p>
    <w:tbl>
      <w:tblPr>
        <w:tblW w:w="4571" w:type="dxa"/>
        <w:jc w:val="left"/>
        <w:tblInd w:w="0" w:type="dxa"/>
        <w:tblLayout w:type="fixed"/>
        <w:tblCellMar>
          <w:top w:w="28" w:type="dxa"/>
          <w:left w:w="28" w:type="dxa"/>
          <w:bottom w:w="28" w:type="dxa"/>
          <w:right w:w="28" w:type="dxa"/>
        </w:tblCellMar>
      </w:tblPr>
      <w:tblGrid>
        <w:gridCol w:w="2086"/>
        <w:gridCol w:w="146"/>
        <w:gridCol w:w="169"/>
        <w:gridCol w:w="662"/>
        <w:gridCol w:w="314"/>
        <w:gridCol w:w="169"/>
        <w:gridCol w:w="169"/>
        <w:gridCol w:w="540"/>
        <w:gridCol w:w="31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2026 and 2025, the Company granted new stock options to purchase 972,425 shares and 4,377,494 shares of its common stock, respectively, with a weighted-average grant-date fair value of $11.65 and $14.60 per share, respectively. As of June 30, 2026, total unrecognized compensation expense related to stock options was $107.3 million, which is expected to be recognized over a weighted-average period of 3.1 years. There were no stock options exercised during the six months ended June 30, 2026. There were 7,545,245 options outstanding as of June 30, 2026.</w:t>
      </w:r>
    </w:p>
    <w:p>
      <w:pPr>
        <w:pStyle w:val="TextBody"/>
        <w:bidi w:val="0"/>
        <w:spacing w:before="240" w:after="283"/>
        <w:jc w:val="left"/>
        <w:rPr>
          <w:rFonts w:ascii="Times New Roman" w:hAnsi="Times New Roman"/>
          <w:sz w:val="20"/>
        </w:rPr>
      </w:pPr>
      <w:r>
        <w:rPr>
          <w:rFonts w:ascii="Times New Roman" w:hAnsi="Times New Roman"/>
          <w:b/>
          <w:i/>
          <w:color w:val="000000"/>
          <w:sz w:val="20"/>
        </w:rPr>
        <w:t>Restricted Stock Units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and 2025, the Company granted 194,715 and 61,200 restricted stock units, respectively, with a weighted-average grant date fair value of $14.90 and $26.60 per share, respectively. As of June 30, 2026, total unrecognized compensation expense related to restricted stock units was $7.6 million, which is expected to be recognized over a weighted-average period of 3.4 years. There were 373,811 unvested restricted stock units as of June 30, 2026.</w:t>
      </w:r>
    </w:p>
    <w:p>
      <w:pPr>
        <w:pStyle w:val="TextBody"/>
        <w:bidi w:val="0"/>
        <w:spacing w:before="240" w:after="283"/>
        <w:jc w:val="left"/>
        <w:rPr>
          <w:rFonts w:ascii="Times New Roman" w:hAnsi="Times New Roman"/>
          <w:sz w:val="20"/>
        </w:rPr>
      </w:pPr>
      <w:r>
        <w:rPr>
          <w:rFonts w:ascii="Times New Roman" w:hAnsi="Times New Roman"/>
          <w:b/>
          <w:i/>
          <w:color w:val="000000"/>
          <w:sz w:val="20"/>
        </w:rPr>
        <w:t>Employee Stock Purchase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had 205,932 shares of its common stock available for issuance under its Employee Stock Purchase Plan (“ESPP”). The Company did not issue any shares of common stock under the ESPP during the six months ended June 30, 2026. The Company issued 33,494 shares with a weighted-average exercise price of $3 under the ESPP during the six months ended June 30,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Performance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the Company granted a total of 604,285 Performance Stock Units (“PSUs”) with an initial fair value of $14.09 to certain members of the Company’s management team. Vesting of the PSUs is contingent upon meeting certain performance conditions as well as meeting certain service conditions. The total initial expense of $8.5 million for these awards is expected to be recognized through June 2029, depending on the achievement of the related performance conditions.</w:t>
      </w:r>
    </w:p>
    <w:p>
      <w:pPr>
        <w:pStyle w:val="TextBody"/>
        <w:bidi w:val="0"/>
        <w:spacing w:before="24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Stock-based compensation expense was allocated as follows: </w:t>
      </w:r>
    </w:p>
    <w:tbl>
      <w:tblPr>
        <w:tblW w:w="8812" w:type="dxa"/>
        <w:jc w:val="left"/>
        <w:tblInd w:w="0" w:type="dxa"/>
        <w:tblLayout w:type="fixed"/>
        <w:tblCellMar>
          <w:top w:w="28" w:type="dxa"/>
          <w:left w:w="28" w:type="dxa"/>
          <w:bottom w:w="28" w:type="dxa"/>
          <w:right w:w="28" w:type="dxa"/>
        </w:tblCellMar>
      </w:tblPr>
      <w:tblGrid>
        <w:gridCol w:w="3651"/>
        <w:gridCol w:w="146"/>
        <w:gridCol w:w="257"/>
        <w:gridCol w:w="697"/>
        <w:gridCol w:w="178"/>
        <w:gridCol w:w="178"/>
        <w:gridCol w:w="257"/>
        <w:gridCol w:w="697"/>
        <w:gridCol w:w="146"/>
        <w:gridCol w:w="146"/>
        <w:gridCol w:w="222"/>
        <w:gridCol w:w="713"/>
        <w:gridCol w:w="154"/>
        <w:gridCol w:w="154"/>
        <w:gridCol w:w="222"/>
        <w:gridCol w:w="603"/>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9,399</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18,269</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9. Leases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Boylston Lease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2025, the Company entered into a lease agreement for office space (“Boylston Lease”) with 500 Boylston &amp; 222 Berkeley Owner (DE) LLC (the “Boylston Landlord”). The commencement date of the lease was September 1, 2025, and the Boylston Lease will expire on August 31, 2031, unless terminated earlier in accordance with the lease agreement. The Company has the option to extend the term for one additional five-year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due associated with the Boylston Lease include both fixed and variable payments. Total fixed lease payments under the lease agreement are $3.8 million. Variable payments relate to the Company’s share of the Boylston Landlord’s operating costs associated with the underlying assets and are recognized when the event on which those payments are assessed occurs. The Boylston Lease does not contain a residual value guarantee.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conjunction with the Boylston Lease, the Company was required to execute an irrevocable standby letter of credit of $0.2 million for the benefit of the Boylston Landlord. As of June 30, 2026, the funds securing the letter of credit were presented as restricted cash equivalents on the condensed consolidated balance sheets.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elements of lease expense were as follows:</w:t>
      </w:r>
    </w:p>
    <w:tbl>
      <w:tblPr>
        <w:tblW w:w="6916" w:type="dxa"/>
        <w:jc w:val="left"/>
        <w:tblInd w:w="0" w:type="dxa"/>
        <w:tblLayout w:type="fixed"/>
        <w:tblCellMar>
          <w:top w:w="28" w:type="dxa"/>
          <w:left w:w="28" w:type="dxa"/>
          <w:bottom w:w="28" w:type="dxa"/>
          <w:right w:w="28" w:type="dxa"/>
        </w:tblCellMar>
      </w:tblPr>
      <w:tblGrid>
        <w:gridCol w:w="1756"/>
        <w:gridCol w:w="146"/>
        <w:gridCol w:w="264"/>
        <w:gridCol w:w="526"/>
        <w:gridCol w:w="182"/>
        <w:gridCol w:w="182"/>
        <w:gridCol w:w="264"/>
        <w:gridCol w:w="845"/>
        <w:gridCol w:w="146"/>
        <w:gridCol w:w="146"/>
        <w:gridCol w:w="241"/>
        <w:gridCol w:w="481"/>
        <w:gridCol w:w="166"/>
        <w:gridCol w:w="166"/>
        <w:gridCol w:w="241"/>
        <w:gridCol w:w="773"/>
        <w:gridCol w:w="39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During the three and six months ended June 30, 2025, the Company entered into an early termination agreement with the landlord of its previously leased office space on June 20, 2025, pursuant to which the parties agreed to terminate the lease, effective August 4, 2025. Per the terms of such agreement, the Company made a non-refundable termination payment in the amount of $8.5 million to the previous landlord. The early termination was treated as a lease modification for accounting purposes. As a result of the modification, the Company remeasured the lease liability and recognized a corresponding adjustment to the right-of-use asset as of the date of the modification. Additionally, as of June 30, 2025, the space was determined to be abandoned, thus the Company accelerated amortization of the right of-use asset and de-recognized any remaining balances during the period. The total expense recognized in the three and six months ended June 30, 2025 in connection with the termination of the lease in those periods was $11.2 million.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Amounts reported in the condensed consolidated balance sheets and the weighted-average lease term and discount rate information were as follows:</w:t>
      </w:r>
    </w:p>
    <w:tbl>
      <w:tblPr>
        <w:tblW w:w="8130" w:type="dxa"/>
        <w:jc w:val="left"/>
        <w:tblInd w:w="0" w:type="dxa"/>
        <w:tblLayout w:type="fixed"/>
        <w:tblCellMar>
          <w:top w:w="28" w:type="dxa"/>
          <w:left w:w="28" w:type="dxa"/>
          <w:bottom w:w="28" w:type="dxa"/>
          <w:right w:w="28" w:type="dxa"/>
        </w:tblCellMar>
      </w:tblPr>
      <w:tblGrid>
        <w:gridCol w:w="4351"/>
        <w:gridCol w:w="146"/>
        <w:gridCol w:w="256"/>
        <w:gridCol w:w="177"/>
        <w:gridCol w:w="692"/>
        <w:gridCol w:w="271"/>
        <w:gridCol w:w="146"/>
        <w:gridCol w:w="341"/>
        <w:gridCol w:w="236"/>
        <w:gridCol w:w="923"/>
        <w:gridCol w:w="59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weighted-average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Lease Term and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remaining lease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represents other lease activity:</w:t>
      </w:r>
    </w:p>
    <w:tbl>
      <w:tblPr>
        <w:tblW w:w="10205" w:type="dxa"/>
        <w:jc w:val="left"/>
        <w:tblInd w:w="0" w:type="dxa"/>
        <w:tblLayout w:type="fixed"/>
        <w:tblCellMar>
          <w:top w:w="28" w:type="dxa"/>
          <w:left w:w="28" w:type="dxa"/>
          <w:bottom w:w="28" w:type="dxa"/>
          <w:right w:w="28" w:type="dxa"/>
        </w:tblCellMar>
      </w:tblPr>
      <w:tblGrid>
        <w:gridCol w:w="5754"/>
        <w:gridCol w:w="146"/>
        <w:gridCol w:w="211"/>
        <w:gridCol w:w="421"/>
        <w:gridCol w:w="146"/>
        <w:gridCol w:w="146"/>
        <w:gridCol w:w="211"/>
        <w:gridCol w:w="676"/>
        <w:gridCol w:w="146"/>
        <w:gridCol w:w="146"/>
        <w:gridCol w:w="211"/>
        <w:gridCol w:w="421"/>
        <w:gridCol w:w="146"/>
        <w:gridCol w:w="146"/>
        <w:gridCol w:w="211"/>
        <w:gridCol w:w="676"/>
        <w:gridCol w:w="391"/>
      </w:tblGrid>
      <w:tr>
        <w:trPr/>
        <w:tc>
          <w:tcPr>
            <w:tcW w:w="5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for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Significant Agreements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Telitacicept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25, 2025, the Company and RemeGen Co., Ltd. (“RemeGen”) entered into a license agreement (the “Telitacicept License Agreement”) granting the Company exclusive rights to develop and commercialize RemeGen’s proprietary fusion protein compound, telitacicept (the “Licensed Compound”), outside of the People’s Republic of China, Hong Kong, Macau and Taiwan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(collectively, “Greater China”). RemeGen retains all rights to the Licensed Compound in Greater China. Under the License Agreement, the Company received an exclusive (even as to RemeGen) license under RemeGen’s patents and know-how to exploit, develop and commercialize the Licensed Compound in all territories other than Greater China, with the right to grant sublicenses. The Company also received a non-exclusive license to manufacture the Licensed Compound and any resulting licensed products (“Licensed Products”) worldwide solely for use in the licensed territory. The Company is responsible for all development, regulatory and commercialization activities and costs in the licensed territory, including the conduct of clinical trials and regulatory submissions. The Telitacicept License Agreement established a joint steering committee (“JSC”) to oversee the ongoing development and commercialization of telitacicept. The JSC comprises an equal number of senior-level executives from each party; however, final decision-making authority as it relates to the development and commercialization of the Licensed Compound outside Greater China lies with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consideration for the rights granted, the Company agreed to make an upfront cash payment in the amount of $45.0 million and issued the RemeGen Warrant to a subsidiary of RemeGen, which was initially valued at $177.4 million. Refer to Note 7 for details on the terms of the RemeGen Warrant. The $45.0 million cash payment due to RemeGen was paid during the year ended December 31, 2025. The Company incurred $0.2 million in transaction costs related to the Telitacicept License Agreement during the year ended December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accounted for the Telitacicept License Agreement as an asset acquisition as substantially all of the value received was concentrated in the Licensed Compound which does not have an alternate future use as it is not yet approved for commercial sale in the licensed territory. Accordingly, the Company recognized a $222.6 million charge to research and development expense on the condensed consolidated statement of operations and comprehensive loss during the year ended December 31, 2025 associated with this asset acquisition. The Company’s accounting policy is to classify the cost of asset acquisitions as an operating cash outflow on the condensed consolidated statement of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terms of the Telitacicept License Agreement, RemeGen is eligible to receive up to $330 million in regulatory milestone payments and up to $3.775 billion in sales milestone payments. In addition, RemeGen is entitled to receive tiered royalties on net sales of the Licensed Products in the licensed territory, ranging from high single digit to mid-teen percentages of net sales, subject to customary reductions. If the Company enters into a sublicense or divests rights to the Licensed Products prior to a specified development event and other than in connection with a change of control, RemeGen is entitled to receive a single digit percentage of certain net proceeds from such transactions. The Telitacicept License Agreement also provides for technology transfer, mutual indemnification and confidentiality. As of June 30, 2026, no milestone or royalty payments have been accrued for as the consideration is not yet payable per the terms of the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Telitacicept License Agreement may be terminated, in its entirety or on a region-by-region basis, by either party for material breach (subject to cure periods and dispute resolution) or insolvency of the other party, by the Company for convenience with advance notice, or by RemeGen if the Company challenges the validity of licensed patents. Upon termination, all rights and licenses in the terminated region will revert to RemeGen, with a wind-down period for the Company to cease activities.</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11. Net Loss Per Share</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following table sets forth the computation of the Company’s basic and diluted net loss per share for the three and six months ended June 30, 2026 and 2025: </w:t>
      </w:r>
    </w:p>
    <w:tbl>
      <w:tblPr>
        <w:tblW w:w="10205" w:type="dxa"/>
        <w:jc w:val="left"/>
        <w:tblInd w:w="0" w:type="dxa"/>
        <w:tblLayout w:type="fixed"/>
        <w:tblCellMar>
          <w:top w:w="28" w:type="dxa"/>
          <w:left w:w="28" w:type="dxa"/>
          <w:bottom w:w="28" w:type="dxa"/>
          <w:right w:w="28" w:type="dxa"/>
        </w:tblCellMar>
      </w:tblPr>
      <w:tblGrid>
        <w:gridCol w:w="3834"/>
        <w:gridCol w:w="146"/>
        <w:gridCol w:w="211"/>
        <w:gridCol w:w="1036"/>
        <w:gridCol w:w="166"/>
        <w:gridCol w:w="146"/>
        <w:gridCol w:w="211"/>
        <w:gridCol w:w="991"/>
        <w:gridCol w:w="166"/>
        <w:gridCol w:w="146"/>
        <w:gridCol w:w="211"/>
        <w:gridCol w:w="1036"/>
        <w:gridCol w:w="166"/>
        <w:gridCol w:w="146"/>
        <w:gridCol w:w="211"/>
        <w:gridCol w:w="991"/>
        <w:gridCol w:w="391"/>
      </w:tblGrid>
      <w:tr>
        <w:trPr/>
        <w:tc>
          <w:tcPr>
            <w:tcW w:w="3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 and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(1,573,669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(1,606,155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number of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54,304,456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6,263,572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48,689,196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6,252,452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Company’s potentially dilutive securities were stock options, restricted stock units, warrants, and performance stock units. Based on the amounts outstanding as of June 30, 2026 and 2025, the Company excluded the following potential common shares from the computation of diluted net loss per share attributable to common stockholders because including them would have had an anti-dilutive effect: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964" w:type="dxa"/>
        <w:jc w:val="left"/>
        <w:tblInd w:w="0" w:type="dxa"/>
        <w:tblLayout w:type="fixed"/>
        <w:tblCellMar>
          <w:top w:w="28" w:type="dxa"/>
          <w:left w:w="28" w:type="dxa"/>
          <w:bottom w:w="28" w:type="dxa"/>
          <w:right w:w="28" w:type="dxa"/>
        </w:tblCellMar>
      </w:tblPr>
      <w:tblGrid>
        <w:gridCol w:w="2971"/>
        <w:gridCol w:w="146"/>
        <w:gridCol w:w="146"/>
        <w:gridCol w:w="1036"/>
        <w:gridCol w:w="146"/>
        <w:gridCol w:w="146"/>
        <w:gridCol w:w="146"/>
        <w:gridCol w:w="1036"/>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7,545,245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4,731,052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39,014,213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54,491,952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12. Segments</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operates and manages its business as one reportable and operating segment, centered around the commercial development of its product candidates. The Company’s chief operating decision maker (“CODM”) is the Chief Executive Officer.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Company’s CODM reviews consolidated operating results, manages the business on a consolidated basis and utilizes consolidated net loss from the condensed consolidated statements of operations and comprehensive loss to make decisions about allocating resources and assessing performance for the entire Company. Consolidated net loss is also used to monitor budget to actual results. The CODM is additionally regularly provided with more detailed expense information at the program level.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is a summary of the segment profit or loss, including significant segment expenses:</w:t>
      </w:r>
    </w:p>
    <w:tbl>
      <w:tblPr>
        <w:tblW w:w="9441" w:type="dxa"/>
        <w:jc w:val="left"/>
        <w:tblInd w:w="0" w:type="dxa"/>
        <w:tblLayout w:type="fixed"/>
        <w:tblCellMar>
          <w:top w:w="28" w:type="dxa"/>
          <w:left w:w="28" w:type="dxa"/>
          <w:bottom w:w="28" w:type="dxa"/>
          <w:right w:w="28" w:type="dxa"/>
        </w:tblCellMar>
      </w:tblPr>
      <w:tblGrid>
        <w:gridCol w:w="2981"/>
        <w:gridCol w:w="146"/>
        <w:gridCol w:w="211"/>
        <w:gridCol w:w="146"/>
        <w:gridCol w:w="736"/>
        <w:gridCol w:w="166"/>
        <w:gridCol w:w="146"/>
        <w:gridCol w:w="211"/>
        <w:gridCol w:w="146"/>
        <w:gridCol w:w="991"/>
        <w:gridCol w:w="166"/>
        <w:gridCol w:w="146"/>
        <w:gridCol w:w="211"/>
        <w:gridCol w:w="146"/>
        <w:gridCol w:w="841"/>
        <w:gridCol w:w="166"/>
        <w:gridCol w:w="146"/>
        <w:gridCol w:w="211"/>
        <w:gridCol w:w="146"/>
        <w:gridCol w:w="991"/>
        <w:gridCol w:w="391"/>
      </w:tblGrid>
      <w:tr>
        <w:trPr/>
        <w:tc>
          <w:tcPr>
            <w:tcW w:w="2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Telitacicept - gMG</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Telitacicept - SjD</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Trem-cel</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VCAR33</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research and development</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228,139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Salaries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corporate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1,308,454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1,311,145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1,573,669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1,606,155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(1,573,669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(1,606,155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3"/>
        </w:rPr>
        <w:t>(a)</w:t>
      </w:r>
      <w:r>
        <w:rPr>
          <w:rFonts w:ascii="Times New Roman" w:hAnsi="Times New Roman"/>
          <w:color w:val="000000"/>
          <w:sz w:val="20"/>
        </w:rPr>
        <w:t xml:space="preserve"> Includes only external research and development expenditures. </w:t>
      </w:r>
    </w:p>
    <w:p>
      <w:pPr>
        <w:pStyle w:val="TextBody"/>
        <w:bidi w:val="0"/>
        <w:jc w:val="both"/>
        <w:rPr>
          <w:rFonts w:ascii="Times New Roman" w:hAnsi="Times New Roman"/>
          <w:sz w:val="20"/>
        </w:rPr>
      </w:pPr>
      <w:r>
        <w:rPr>
          <w:rFonts w:ascii="Times New Roman" w:hAnsi="Times New Roman"/>
          <w:color w:val="000000"/>
          <w:sz w:val="13"/>
        </w:rPr>
        <w:t>(b)</w:t>
      </w:r>
      <w:r>
        <w:rPr>
          <w:rFonts w:ascii="Times New Roman" w:hAnsi="Times New Roman"/>
          <w:color w:val="000000"/>
          <w:sz w:val="20"/>
        </w:rPr>
        <w:t xml:space="preserve"> Other segment items are primarily comprised of interest income on marketable securities and certain non-cash expenses such as change in fair value of warrant liabilities, stock-based compensation, and depreciation expense.</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measure of segment assets is reported on the condensed consolidated balance sheets as total assets. The CODM additionally reviews cash, cash equivalents and marketable securities when reviewing segment assets. As of June 30, 2026, the Company’s cash, cash equivalents and marketable securities were $466.1 million. The Company does not provide its CODM with any more detailed segment asset information than what is included on the Company’s condensed consolidated balance sheets.</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13. Related Party Transactions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March 2026 Private Placement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discussed in Note 7, on March 26, 2026, the Company entered into a securities purchase agreement with entities affiliated with TCGX pursuant to which the Company issued and sold an aggregate of 5,338,078 shares of common stock, at a price per share of $14.05, for net proceeds of $74.9 million after deducting offering expenses. Upon the execution of the March 2026 Private Placement on March 30, 2026, TCGX became a greater than 10% owner of the Company’s common stock and therefore became a principal owner in accordance with ASC 850, </w:t>
      </w:r>
      <w:r>
        <w:rPr>
          <w:rFonts w:ascii="Times New Roman" w:hAnsi="Times New Roman"/>
          <w:i/>
          <w:color w:val="000000"/>
          <w:sz w:val="20"/>
        </w:rPr>
        <w:t>Related Party Transactions</w:t>
      </w:r>
      <w:r>
        <w:rPr>
          <w:rFonts w:ascii="Times New Roman" w:hAnsi="Times New Roman"/>
          <w:color w:val="000000"/>
          <w:sz w:val="20"/>
        </w:rPr>
        <w:t>.</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14. Subsequent Events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At-the-Market Sales Activity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July 2026, the Company sold 2,558,569 shares of common stock under the existing at-the-market sales agreement with Stifel, Nicolaus &amp; Company, Incorporated as the agent (the "Stifel ATM Facility"). The shares were sold at a weighted-average price per share of $19.11 for aggregate gross proceeds of $48.9 million, before deducting commissions of $0.5 million. Following these sales, there is no remaining capacity under the current prospectus supplement associated with the Stifel ATM Facility.</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2025 Warrant Exercise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2026, 2,100,000 of the 2025 Warrants were exercised on a cashless basis by RA Capital Healthcare Fund, L.P. (“RA Capital”) in exchange for 2,099,787 shares of common stock. RA Capital was a related party to the Company under ASC 850 through the reporting date of June 30, 2026. </w:t>
      </w:r>
    </w:p>
    <w:p>
      <w:pPr>
        <w:pStyle w:val="TextBody"/>
        <w:bidi w:val="0"/>
        <w:spacing w:before="12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the unaudited condensed consolidated financial statements and related notes included elsewhere in this Quarterly Report on Form 10-Q and with the consolidated financial statements and related notes included in our Annual Report on Form 10-K for the year ended December 31, 2025 (the “2025 Annual Report”). Some of the information contained in this discussion and analysis or set forth elsewhere in this Quarterly Report, including information with respect to our plans and strategy for our business, includes forward-looking statements that involve risks and uncertainties. As a result of many factors, including those factors set forth in the section titled “Risk Factors” in our 2025 Annual Report and in other reports we have filed or may file with the SEC, our actual results could differ materially from the results described in or implied by the forward-looking statements contained in the following discussion and analysis.</w:t>
      </w:r>
    </w:p>
    <w:p>
      <w:pPr>
        <w:pStyle w:val="TextBody"/>
        <w:bidi w:val="0"/>
        <w:spacing w:before="24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Vor Bio is a clinical-stage biopharmaceutical company focused on developing a novel therapy in the treatment of autoimmune diseases. In June 2025, we in-licensed telitacicept from RemeGen Co., Ltd. (“RemeGen”).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our license agreement with RemeGen, we were granted an exclusive license to develop and commercialize telitacicept outside of the Greater China region, which includes mainland China, Hong Kong, Macau and Taiwan. RemeGen retains development and commercialization rights in Greater China. Telitacicept is approved in China for the treatment of generalized myasthenia gravis (“gMG”), systemic lupus erythematosus (“SLE”), rheumatoid arthritis (“RA”), Sjögren’s disease (“SjD”) and IgA nephropathy (“IgAN”).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Telitacicept is currently being evaluated for the treatment of gMG in a global Phase 3 clinical trial, for which we have assumed responsibility from RemeGen in connection with the license agreement. The trial is currently recruiting patients in North America, Europe, Latin America, and Asia to support potential approval in the United States, Europe, Japan and other countries. In July 2024, the clinical trial enrolled a patient in the United States, the first in the global clinical trial. Topline data from the trial is anticipated in the first half of 2027.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Telitacicept was evaluated by RemeGen in a Phase 3 clinical trial in patients with gMG in China. Most recently, the 48-week data from Part B of the Phase 3 trial were presented at the American Association of Neuromuscular &amp; Electrodiagnostic Medicine (“AANEM”) Annual Meeting in October 2025.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also evaluating telitacicept in a global Phase 3 clinical trial for the treatment of SjD. The first patient in this trial was dosed in March 2026, and we expect to recruit a total of approximately 250 adults with SjD in the United States, Europe, South America, and Asia. The trial is a randomized, double-blind, placebo-controlled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Telitacicept was evaluated by RemeGen in a Phase 3 clinical trial in patients with active SjD in China. Most recently, the 48-week data including Stage A and B from the Phase 3 trial were presented at the American College of Rheumatology (“ACR”) Annual Meeting in October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significant operating losses since inception, including net losses of $62.8 million and $1,573.7 million for the three months ended June 30, 2026 and 2025, respectively, and $282.4 million and $1,606.2 million for the six months ended June 30, 2026 and 2025, respectively. As of June 30, 2026, we had an accumulated deficit of $1,435.4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we had cash, cash equivalents and marketable securities of $466.1 million. Additionally, we have received gross proceeds of $48.9 million, before deducting commissions of $0.5 million, from sales of shares of our common stock subsequent to June 30, 2026 transacted through our At-the-Market sales agreement, as described in the Liquidity and Capital Resources section below. Based on our current operating plan, we expect that our cash, cash equivalents and marketable securities will enable us to fund our operating expenses and capital expenditure requirements into early 2029.</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is based on our condensed consolidated financial statements, which have been prepared in accordance with United States generally accepted accounting principles. The preparation of our condensed consolidated financial statements requires us to make judgments and estimates that affect the reported amounts of assets, liabilities, costs, and expenses, and the disclosure of contingent assets and liabilities in our condensed consolidated financial statements. We base our estimates on historical experience, known trends and events, and various other factors that we believe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prospectively from the date of change in estimates. There have been no changes to our critical accounting estimates from those described in “Management’s Discussion and Analysis of Financial Condition and Results of Operations” in our 2025 Annual Report.</w:t>
      </w:r>
    </w:p>
    <w:p>
      <w:pPr>
        <w:pStyle w:val="TextBody"/>
        <w:bidi w:val="0"/>
        <w:spacing w:before="240" w:after="283"/>
        <w:jc w:val="left"/>
        <w:rPr>
          <w:rFonts w:ascii="Times New Roman" w:hAnsi="Times New Roman"/>
          <w:sz w:val="20"/>
        </w:rPr>
      </w:pPr>
      <w:r>
        <w:rPr>
          <w:rFonts w:ascii="Times New Roman" w:hAnsi="Times New Roman"/>
          <w:b/>
          <w:color w:val="000000"/>
          <w:sz w:val="20"/>
        </w:rPr>
        <w:t>Financial Operations Overview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not generated any revenue since our inception and do not expect to generate any revenue from the sale of products in the near future, if at all. If our development efforts for our current or future product candidates are successful and result in marketing approval, or if we enter into collaboration or license agreements with third parties, we may generate revenue in the future from a combination of product sales or payments from such agreements. </w:t>
      </w:r>
    </w:p>
    <w:p>
      <w:pPr>
        <w:pStyle w:val="TextBody"/>
        <w:bidi w:val="0"/>
        <w:spacing w:before="240" w:after="283"/>
        <w:jc w:val="left"/>
        <w:rPr>
          <w:rFonts w:ascii="Times New Roman" w:hAnsi="Times New Roman"/>
          <w:sz w:val="20"/>
        </w:rPr>
      </w:pPr>
      <w:r>
        <w:rPr>
          <w:rFonts w:ascii="Times New Roman" w:hAnsi="Times New Roman"/>
          <w:b/>
          <w:i/>
          <w:color w:val="000000"/>
          <w:sz w:val="20"/>
        </w:rPr>
        <w:t>Expenses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consist primarily of external and internal expenses incurred in connection with our research and development activities, including our drug discovery efforts and the development of our product candidates. External expenses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incurred under agreements with clinical research organizations (“CROs”) and other scientific development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of consultants, including their fees and related travel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compliance with quality and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of laboratory supplies and acquiring and developing preclinical and clinical trial materials, including expenses associated with our clinical manufacturing organizations (“CMOs”);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payments made and consideration issued under third party licensing agreements.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Internal expenses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personnel-related expenses, including salaries, bonuses, benefits and stock-based compensation expenses, for employees involved in research and development activities;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facilities, depreciation and other allocated expenses, which include direct and allocated expenses for rent, insurance, and other internal operating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expense research and development costs as incurred. We recognize external development costs based on an evaluation of the progress to completion of specific tasks using information provided to us by our vendors. Payments for these activities are based on the terms of the individual agreements, which may differ from the pattern of costs incurred, and are reflected in our condensed consolidated financial statements as prepaid expenses or accrued research and development expenses. Nonrefundable advance payments for goods or services to be received in the future for use in research and development activities are deferred and capitalized, even when there is no alternative future use for the research and development. The capitalized amounts are expensed as the related goods are delivered or the services are performed.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significant portion of our research and development costs have been external costs, which we track by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activities are central to our business model. We expect that our research and development expenses will increase significantly for the foreseeable future as we continue to identify and develop product candidates, particularly as our product candidate continues through the later stages of clinical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successful development of our product candidates in the future is highly uncertain. Therefore, we cannot reasonably estimate or know the nature, timing and estimated costs of the efforts that will be necessary to complete the development and commercialization of any of our product candidates. We are also unable to predict when, if ever, material net cash inflows will commence from the sale of our product candidates, if approved. This is due to the numerous risks and uncertainties associated with developing product candidates, many of which are outside of our control, including the uncertainty 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progress of clinical development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scope of clinical programs we decide to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our current research and development programs and to establish new ones;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 appropriate safety profile with IND-enabling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sites and patients included in the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countries in which the clinical trials are conducted;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 patient trial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patient enrollment in, and the initiation of, clinical trials, as well as drop out or discontinuation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successful completion of clinical trials with safety, tolerability and efficacy profiles that are satisfactory to the FDA or any comparable foreign regulatory authority;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trials required for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receipt and terms of any regulatory approvals from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new licensing or collaboration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performance of our current and future collaborators,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commercial manufacturing capabilities or making arrangements with third-party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and changing government regulation and regulatory guidance;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any business interruptions to our operations or to those of the third parties with whom we work;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maintaining, defending and enforcing patent claims and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launching commercial sales of our product candidates, if approved, whether alone or in collaboration with others;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 continued acceptable safety profile of the product candidates following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changes in the outcome of any of these variables could mean a significant change in the costs and timing associated with the development of our product candidates.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personnel-related costs, including salaries, bonuses, benefits and stock-based compensation expenses for employees involved in our executive, finance, corporate, business development and administrative functions, as well as expenses for outside professional services, including legal, audit, accounting and tax-related services and other consulting fees, facility-related expenses, which include depreciation costs and other allocated expenses for rent and maintenance of facilities, insurance costs, recruiting costs, travel expenses and other general administrative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our general and administrative expenses will increase as our business expands and we hire additional personnel to support our continued development of our clinical programs. We also anticipate continued increased expenses associated with being a public company, including costs for legal, audit, accounting, investor and public relations, regulatory and tax-related services related to compliance with the rules and regulations of the SEC, Nasdaq listing standards and director and officer insurance premiums.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consists of interest income earned on our cash, cash equivalents and marketable securities held in financial institutions.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Change in Fair Value of Warrant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warrant liabilities represents the change in the fair value of liability-classified warrants due to changes in their intrinsic value resulting from changes in the quoted price of the Company’s common stock underlying the warrants.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three months ended June 30, 2026 and 2025</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periods indicated (amounts in thousands): </w:t>
      </w:r>
    </w:p>
    <w:tbl>
      <w:tblPr>
        <w:tblW w:w="8303" w:type="dxa"/>
        <w:jc w:val="left"/>
        <w:tblInd w:w="0" w:type="dxa"/>
        <w:tblLayout w:type="fixed"/>
        <w:tblCellMar>
          <w:top w:w="28" w:type="dxa"/>
          <w:left w:w="28" w:type="dxa"/>
          <w:bottom w:w="28" w:type="dxa"/>
          <w:right w:w="28" w:type="dxa"/>
        </w:tblCellMar>
      </w:tblPr>
      <w:tblGrid>
        <w:gridCol w:w="3651"/>
        <w:gridCol w:w="146"/>
        <w:gridCol w:w="211"/>
        <w:gridCol w:w="736"/>
        <w:gridCol w:w="166"/>
        <w:gridCol w:w="146"/>
        <w:gridCol w:w="211"/>
        <w:gridCol w:w="991"/>
        <w:gridCol w:w="166"/>
        <w:gridCol w:w="146"/>
        <w:gridCol w:w="211"/>
        <w:gridCol w:w="931"/>
        <w:gridCol w:w="5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(235,579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226,431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(1,299,922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1,280,622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(1,299,385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1,284,428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(1,573,669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1,510,859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summarizes our research and development expenses incurred for the periods indicated (amounts in thousands):</w:t>
      </w:r>
    </w:p>
    <w:tbl>
      <w:tblPr>
        <w:tblW w:w="8943" w:type="dxa"/>
        <w:jc w:val="left"/>
        <w:tblInd w:w="0" w:type="dxa"/>
        <w:tblLayout w:type="fixed"/>
        <w:tblCellMar>
          <w:top w:w="28" w:type="dxa"/>
          <w:left w:w="28" w:type="dxa"/>
          <w:bottom w:w="28" w:type="dxa"/>
          <w:right w:w="28" w:type="dxa"/>
        </w:tblCellMar>
      </w:tblPr>
      <w:tblGrid>
        <w:gridCol w:w="4671"/>
        <w:gridCol w:w="146"/>
        <w:gridCol w:w="211"/>
        <w:gridCol w:w="676"/>
        <w:gridCol w:w="146"/>
        <w:gridCol w:w="146"/>
        <w:gridCol w:w="211"/>
        <w:gridCol w:w="781"/>
        <w:gridCol w:w="146"/>
        <w:gridCol w:w="146"/>
        <w:gridCol w:w="211"/>
        <w:gridCol w:w="841"/>
        <w:gridCol w:w="611"/>
      </w:tblGrid>
      <w:tr>
        <w:trPr/>
        <w:tc>
          <w:tcPr>
            <w:tcW w:w="4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Telitacicept - gMG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Telitacicept - SjD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Trem-cel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VCAR33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(223,242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research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Salaries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Manufacturing, facilities, and other research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(235,579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were $25.9 million for the three months ended June 30, 2026, compared to $261.5 million for the three months ended June 30, 2025. The decrease of $235.6 million was primarily due to the $222.6 million of expense recognized in connection with the upfront consideration for the Telitacicept License Agreement in the three months ended June 30, 2025. There were also decreases of $18.4 million in manufacturing, facilities, and other expenses primarily driven by the acceleration of amortization and terminated lease fees incurred in connection with the termination of the lease in the three months ended June 30, 2025. There was also a decrease of $7.1 million in salaries and benefits expenses primarily due to severance costs incurred in connection with employee terminations in the prior year period. The decreases were also due to decreases in spend for Trem-cel and VCAR33 of $3.1 and $2.4 million, respectively, compared to the prior year period. These decreases were partially offset by a $18.5 million increase in spend for our new programs, telitacicept - gMG and telitacicept - SjD.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were $21.9 million for the three months ended June 30, 2026, compared to $12.8 million for the three months ended June 30, 2025. The increase of $9.1 million was primarily due to a $7.3 million increase in stock-based compensation expense, a $3.3 million increase in commercial-related expenses, and a $0.7 million increase in professional fees. The increases were partially offset by a $0.8 million decrease in personnel-related expenses and a $1.4 million decrease in facilities and other expenses. The increase in stock-based compensation was primarily driven by grants to new members of our management team hired in the second and third quarters of 2025, as well as an appreciation in our stock price and incremental expense recognized from award modifications which took place at the end of the year ended December 31, 2025. The increase in commercial-related expenses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was due primarily to an increase in commercial activities as the Company prepares for potential commercial launch as its clinical trials progress.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 net decreased by $1,284.4 million during the three months ended June 30, 2026, compared to the three months ended June 30, 2025. The decrease in other expense was primarily due to the change in fair value of the warrant liabilities resulting from changes in the quoted price of the Company’s common stock underlying the warrants, and a decrease in warrants outstanding compared to the prior year period.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six months ended June 30, 2026 and 2025</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periods indicated (amounts in thousands): </w:t>
      </w:r>
    </w:p>
    <w:tbl>
      <w:tblPr>
        <w:tblW w:w="8408" w:type="dxa"/>
        <w:jc w:val="left"/>
        <w:tblInd w:w="0" w:type="dxa"/>
        <w:tblLayout w:type="fixed"/>
        <w:tblCellMar>
          <w:top w:w="28" w:type="dxa"/>
          <w:left w:w="28" w:type="dxa"/>
          <w:bottom w:w="28" w:type="dxa"/>
          <w:right w:w="28" w:type="dxa"/>
        </w:tblCellMar>
      </w:tblPr>
      <w:tblGrid>
        <w:gridCol w:w="3651"/>
        <w:gridCol w:w="146"/>
        <w:gridCol w:w="211"/>
        <w:gridCol w:w="841"/>
        <w:gridCol w:w="166"/>
        <w:gridCol w:w="146"/>
        <w:gridCol w:w="211"/>
        <w:gridCol w:w="991"/>
        <w:gridCol w:w="166"/>
        <w:gridCol w:w="146"/>
        <w:gridCol w:w="211"/>
        <w:gridCol w:w="931"/>
        <w:gridCol w:w="5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(244,685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(224,562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224,562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(1,299,922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1,092,265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(1,298,580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1,099,201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(1,606,155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1,323,763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summarizes our research and development expenses incurred for the periods indicated (amounts in thousands):</w:t>
      </w:r>
    </w:p>
    <w:tbl>
      <w:tblPr>
        <w:tblW w:w="8943" w:type="dxa"/>
        <w:jc w:val="left"/>
        <w:tblInd w:w="0" w:type="dxa"/>
        <w:tblLayout w:type="fixed"/>
        <w:tblCellMar>
          <w:top w:w="28" w:type="dxa"/>
          <w:left w:w="28" w:type="dxa"/>
          <w:bottom w:w="28" w:type="dxa"/>
          <w:right w:w="28" w:type="dxa"/>
        </w:tblCellMar>
      </w:tblPr>
      <w:tblGrid>
        <w:gridCol w:w="4671"/>
        <w:gridCol w:w="146"/>
        <w:gridCol w:w="211"/>
        <w:gridCol w:w="676"/>
        <w:gridCol w:w="146"/>
        <w:gridCol w:w="146"/>
        <w:gridCol w:w="211"/>
        <w:gridCol w:w="781"/>
        <w:gridCol w:w="146"/>
        <w:gridCol w:w="146"/>
        <w:gridCol w:w="211"/>
        <w:gridCol w:w="841"/>
        <w:gridCol w:w="611"/>
      </w:tblGrid>
      <w:tr>
        <w:trPr/>
        <w:tc>
          <w:tcPr>
            <w:tcW w:w="4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Telitacicept - gMG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Telitacicept - SjD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Trem-cel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VCAR33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(225,459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research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Salaries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Manufacturing, facilities, and other research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(244,685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Research and development expenses were $43.5 million for the six months ended June 30, 2026, compared to $288.2 million for the six months ended June 30, 2025. The decrease of $244.7 million was primarily due</w:t>
      </w:r>
      <w:r>
        <w:rPr>
          <w:rFonts w:ascii="Times New Roman" w:hAnsi="Times New Roman"/>
          <w:color w:val="FF0000"/>
          <w:sz w:val="20"/>
        </w:rPr>
        <w:t xml:space="preserve"> </w:t>
      </w:r>
      <w:r>
        <w:rPr>
          <w:rFonts w:ascii="Times New Roman" w:hAnsi="Times New Roman"/>
          <w:color w:val="000000"/>
          <w:sz w:val="20"/>
        </w:rPr>
        <w:t>the $222.6 million of expense recognized in connection with the upfront consideration for the Telitacicept License Agreement in the six months ended June 30, 2025. There were also decreases of $21.9 million in manufacturing, facilities, and other expenses primarily driven by the acceleration of amortization and terminated lease fees incurred in connection with the termination of the lease in the six months ended June 30, 2025. There was also a decrease of $12.7 million in salaries and benefits expenses primarily due to severance costs incurred in connection with employee terminations in the prior year period, and also due in part to a decreased headcount compared to the prior year period. The decreases were also due to decreases in spend for Trem-cel and VCAR33 of $9.2 and $6.0 million, respectively, compared to the prior year period, as well as a $0.2 million decrease in stock-based compensation. These decreases were partially offset by a $30.8 million increase in spend for our new programs, telitacicept - gMG and telitacicept - SjD.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$39.5 million for the six months ended June 30, 2026 , compared to $19.4 million for the six months ended June 30, 2025. The increase of $20.1 million was primarily due to a $14.7 million increase in stock-based compensation expense, a $4.5 million increase in commercial-related expenses, a $1.6 million increase in professional fees, and a $0.6 million increase in personnel-related expenses. The increases were partially offset by a $1.4 million decrease in facilities and other expense. The increase in stock-based compensation was primarily driven by grants to new members of our management team hired in the second and third quarters of 2025, as well as an appreciation in our stock price and incremental expense recognized from award modifications which took place at the end of the year ended December 31, 2025. The increase in commercial-related expenses was due primarily to an increase in commercial activities as the Company prepares for potential commercial launch as its clinical trials progress.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 decreased by $1,099.2 million during the six months ended June 30, 2026, compared to the six months ended June 30, 2025. The decrease in other expense was primarily due to the change in fair value of the warrant liabilities resulting from changes in the quoted price of the Company’s common stock underlying the warrants, and a decrease in warrants outstanding compared to the prior year period.</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 We have funded our operations primarily through the sale of equity securities and have received aggregate net proceeds from these transactions of approximately $1,094.1 million as of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fund our future operations, including our ongoing and planned clinical trials, we filed a universal shelf registration statement, which was declared effective on March 31, 2025, to provide for aggregate offerings of up to $350.0 million of common stock, preferred stock, debt securities, warrants or any combination thereof. As of June 30, 2026, $164.2 million remained available under this Shelf Registration Statement, including $48.9 million reserved for at-the-market offerings discussed below. </w:t>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At-the-Market Sales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2022, we entered into a Sales Agreement with Stifel, Nicolaus &amp; Company, Incorporated (“Stifel”) as the agent (the "Stifel ATM Facility"). Pursuant to the Stifel ATM Facility, we may offer and sell shares of common stock with an aggregate value of up to $125.0 million. We pay Stifel a commission of up to 3.0% of the gross proceeds of any common stock sold through Stifel. We did not sell any shares of our common stock under the Stifel ATM Facility during the six months ended June 30, 2026. As of June 30, 2026, $48.9 million remained available to be sold under the Stifel ATM Facility. Subsequent to June 30, 2026, we have sold 2,558,569 shares for gross proceeds of $48.9 million, before deducting commissions of $0.5 million, at a weighted-average price of $19.11 under the Stifel ATM facility.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March 2026 Private Placement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March 26, 2026, we entered into a purchase agreement with institutional investors pursuant to which we agreed to issue and sell an aggregate of 5,338,078 shares of common stock, at a price per share of $14.05, for net proceeds of $74.9 million after deducting offering expenses payable by us. The private placement closed on March 30, 2026.</w:t>
      </w:r>
    </w:p>
    <w:p>
      <w:pPr>
        <w:pStyle w:val="TextBody"/>
        <w:bidi w:val="0"/>
        <w:spacing w:before="240" w:after="283"/>
        <w:jc w:val="left"/>
        <w:rPr>
          <w:rFonts w:ascii="Times New Roman" w:hAnsi="Times New Roman"/>
          <w:sz w:val="20"/>
        </w:rPr>
      </w:pPr>
      <w:r>
        <w:rPr>
          <w:rFonts w:ascii="Times New Roman" w:hAnsi="Times New Roman"/>
          <w:b/>
          <w:i/>
          <w:color w:val="000000"/>
          <w:sz w:val="20"/>
        </w:rPr>
        <w:t>Cash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we had cash, cash equivalents and marketable securities of $466.1 million. We have also received $48.9 million of gross proceeds, before deducting commissions of $0.5 million, from sales made under the Stifel ATM Facility subsequent to June 30, 2026. We will need to raise additional capital in the future to fund our planned future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our existing cash, cash equivalents and marketable securities, including the net proceeds from sales of our common stock under the Stifel ATM Facility subsequent to June 30, 2026, will enable us to fund our operating expenses and capital expenditure requirements into early 2029. We have based this estimate on assumptions that may prove to be wrong and we could exhaust our capital resources sooner than we expect.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our expenses to increase substantially if, and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clinical development of our product candidate and any future product candidates, including in particular the expenses associated with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 third party manufacturing costs to support our clinical trials of our product candidate and any future product candidates and, if approved, their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to identify and develop additional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regulatory and marketing approvals for our product candidate and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sales, marketing and distribution infrastructure to commercialize any approved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adapt our regulatory compliance efforts to incorporate requirements to applicable marketed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acquire or in-license products, product candidates,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expand, enforce, defend and protect our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hire additional clinical, quality control, manufacturing and other scientific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 operational, financial and management information systems and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expand our office facility or establish dedicated laboratory and manufacturing facilities;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experience any delays or encounter any issues with any of the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expect to continue to incur additional costs associated with operating as a public company, including significant legal, audit, accounting, investor and public relations, regulatory, tax-related, director and officer insurance premiums, investor relations and other expenses. Developing pharmaceutical products, including conducting clinical trials, is a time-consuming, expensive and uncertain process that takes years to complete, and we may never generate the necessary data or results required to obtain marketing approval for any product candidates or generate revenue from the sale of any product candidate for which we may obtain marketing approval. In addition, our product candidates, if approved, may not achieve commercial success. Our commercial revenues, if any, will be derived from sales of products that we do not expect to be commercially available for at least several years, if ever.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we will need substantial additional funding to support our continuing operations and pursue our growth strategy. Until such time as we can generate significant revenue from product sales, if ever, we expect to finance our operations through the public or private sale of our equity, government or private party grants, debt financings or other capital sources, including potential collaborations with other companies or other strategic transactions. To the extent that we raise additional capital through the sale of our equity or convertible debt securities, including through the use of the Stifel ATM Facility, the ownership interest of our shareholders will be or could be diluted, and the terms of these securities may include liquidation or other preferences that adversely affect the rights of our stockholders. Debt financing and equity financing, if available, may involve agreements that include covenants limiting or restricting our ability to take specific actions, such as incurring additional debt, making capital expenditures or declaring dividends. If we are unable to obtain additional funding, we could be forced to delay, reduce or eliminate some or all of our research and development programs, product portfolio expansion or any commercialization efforts, which could adversely affect our business prospects, or we may be unable to continue operations. If we raise funds through strategic collaborations or other similar arrangements with third parties, we may have to relinquish valuable rights to our intellectual property, future revenue streams, research programs or product candidates or may have to grant licenses on terms that may not be favorable to us and/or may reduce the value of our common stock. Our ability to raise additional funds may be adversely impacted by worsening global economic conditions and disruptions to and volatility in the credit and financial markets in the United States and worldwide resulting from worsening geopolitical tensions and adverse macroeconomic conditions or otherwise. Because of the numerous risks and uncertainties associated with product development, we cannot predict the timing or amount of increased expenses, and there is no assurance that we will ever be profitable or generate positive cash flow from operating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did not have during the periods presented, and we do not currently have, any off-balance sheet arrangements that have, or are reasonably likely to have, a material current or future effect on our financial condition, changes in financial condition, revenues or expenses, results of operations, liquidity, cash requirements or capital resources.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following table provides information regarding our cash flows for the periods presented (in thousands): </w:t>
      </w:r>
    </w:p>
    <w:tbl>
      <w:tblPr>
        <w:tblW w:w="9649" w:type="dxa"/>
        <w:jc w:val="left"/>
        <w:tblInd w:w="0" w:type="dxa"/>
        <w:tblLayout w:type="fixed"/>
        <w:tblCellMar>
          <w:top w:w="28" w:type="dxa"/>
          <w:left w:w="28" w:type="dxa"/>
          <w:bottom w:w="28" w:type="dxa"/>
          <w:right w:w="28" w:type="dxa"/>
        </w:tblCellMar>
      </w:tblPr>
      <w:tblGrid>
        <w:gridCol w:w="6756"/>
        <w:gridCol w:w="146"/>
        <w:gridCol w:w="211"/>
        <w:gridCol w:w="841"/>
        <w:gridCol w:w="166"/>
        <w:gridCol w:w="146"/>
        <w:gridCol w:w="211"/>
        <w:gridCol w:w="781"/>
        <w:gridCol w:w="391"/>
      </w:tblGrid>
      <w:tr>
        <w:trPr/>
        <w:tc>
          <w:tcPr>
            <w:tcW w:w="6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174,459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(decrease) increase in cash, cash equivalents and 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(288,631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108,625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$63.6 million for the six months ended June 30, 2026, reflecting a net loss of $282.4 million, offset by changes in operating assets and liabilities of $6.5 million and non-cash charges of $225.3 million. The non-cash charges primarily consisted of the change in fair value of warrant liabilities of $207.7 million and $18.3 million of stock-based compensation expense. The change in operating assets and liabilities was primarily due to the increase of $6.1 million of prepaid expense and other current assets, primarily driven by the increase of prepayments made for our clinical programs and an increase in accrued interest on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$66.3 million for the six months ended June 30, 2025, reflecting a net loss of $1,606.2 million, offset by changes in operating assets and liabilities of $2.0 million and non-cash charges of $1,537.9 million. The non-cash charges primarily consisted of the change in fair value of warrant liabilities of $1,299.9 million and the acquisition of in-process research and development of $222.6 million.</w:t>
      </w:r>
    </w:p>
    <w:p>
      <w:pPr>
        <w:pStyle w:val="TextBody"/>
        <w:bidi w:val="0"/>
        <w:spacing w:before="12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was $299.8 million for the six months ended June 30, 2026, which consisted of the purchases of $355.5 million of marketable securities and $0.2 million of equipment, partially offset by $55.9 million of proceeds from the maturities of marketable securities. Net cash provided by investing activities was $0.4 million for the six months ended June 30, 2025, which consisted of proceeds of $0.8 million from the sale of property and equipment, partially offset by purchases of $0.4 million of property and equipment.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was $74.8 million for the six months ended June 30, 2026, which primarily consisted of $75.0 million in gross proceeds from the issuance of common stock in the March 2026 private placement, partially offset by $0.2 million of payments made in the period for issuance costs relating to the December 2025 and March 2026 private placements.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financing activities was $174.5 million for the six months ended June 30, 2025, which consisted of $175.0 million in proceeds from the issuance of pre-funded warrants, offset by the payment of $0.6 million of issuance costs related to the December 2024 private placement. </w:t>
      </w:r>
    </w:p>
    <w:p>
      <w:pPr>
        <w:pStyle w:val="TextBody"/>
        <w:bidi w:val="0"/>
        <w:spacing w:before="240" w:after="283"/>
        <w:jc w:val="left"/>
        <w:rPr>
          <w:rFonts w:ascii="Times New Roman" w:hAnsi="Times New Roman"/>
          <w:sz w:val="20"/>
        </w:rPr>
      </w:pPr>
      <w:r>
        <w:rPr>
          <w:rFonts w:ascii="Times New Roman" w:hAnsi="Times New Roman"/>
          <w:b/>
          <w:color w:val="000000"/>
          <w:sz w:val="20"/>
        </w:rPr>
        <w:t>Contractual Obligations and Other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Contractual obligations relate to future minimum lease payments for an existing non-cancellable lease relating to corporate office space, with a term expiring in August 2031.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commitments include license and collaboration agreements we have entered into with certain parties including the Telitacicept License Agreement discussed in Note 10 to the unaudited condensed consolidated financial statements included elsewhere in this Quarterly Report on Form 10-Q. Such arrangements require ongoing payments, including payments upon the achievement of certain development, regulatory and commercial milestones, receipt of sublicense income, as well as royalties on commercial sales. Payments under these arrangements will generally be expensed as incurred.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significant changes in contractual obligations and other commitments from that described under the heading “Management’s Discussion and Analysis of Financial Condition and Results of Operations—Contractual Obligations and Other Commitments” in our 2025 Annual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have agreements with certain vendors for various services, including services related to clinical operations and support, which we are not contractually able to terminate for convenience and avoid any and all future obligations to the vendors. Under such agreements, we are contractually obligated to make certain payments to vendors to reimburse them for their unrecoverable outlays incurred prior to cancellation. The exact amounts of such obligations are dependent on the timing of termination and the exact terms of the relevant agreement and cannot be reasonably estimated. We do not include these payments in this summary as they are not fixed and estimable.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no new significant recent accounting pronouncements which may materially impact our financial statements.</w:t>
      </w:r>
    </w:p>
    <w:p>
      <w:pPr>
        <w:pStyle w:val="TextBody"/>
        <w:bidi w:val="0"/>
        <w:spacing w:before="360" w:after="283"/>
        <w:jc w:val="left"/>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as defined by Item 10 of Regulation S-K and are not required to provide the information otherwise required under this item.</w:t>
      </w:r>
    </w:p>
    <w:p>
      <w:pPr>
        <w:pStyle w:val="TextBody"/>
        <w:bidi w:val="0"/>
        <w:spacing w:before="240" w:after="283"/>
        <w:jc w:val="left"/>
        <w:rPr>
          <w:rFonts w:ascii="Times New Roman" w:hAnsi="Times New Roman"/>
          <w:b/>
          <w:color w:val="000000"/>
          <w:sz w:val="20"/>
        </w:rPr>
      </w:pPr>
      <w:bookmarkStart w:id="11" w:name="item_4_controls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our Chief Financial Officer, evaluated, as of the end of the period covered by this Quarterly Report on Form 10-Q, the effectiveness of our disclosure controls and procedures.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the evaluation of our disclosure controls and procedures as of June 30, 2026, our Chief Executive Officer and our Chief Financial Officer concluded that our disclosure controls and procedures as of such date were effective at the reasonable assurance level.</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sz w:val="20"/>
        </w:rPr>
      </w:pPr>
      <w:bookmarkStart w:id="12" w:name="part_iior_information"/>
      <w:bookmarkEnd w:id="12"/>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120"/>
        <w:jc w:val="left"/>
        <w:rPr>
          <w:rFonts w:ascii="Times New Roman" w:hAnsi="Times New Roman"/>
          <w:sz w:val="20"/>
        </w:rPr>
      </w:pPr>
      <w:bookmarkStart w:id="13" w:name="item_1_legal_proceedings"/>
      <w:bookmarkEnd w:id="13"/>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currently a party to any material legal proceedings. From time to time, we may become involved in other litigation or legal proceedings relating to claims arising from the ordinary course of business.</w:t>
      </w:r>
    </w:p>
    <w:p>
      <w:pPr>
        <w:pStyle w:val="TextBody"/>
        <w:bidi w:val="0"/>
        <w:spacing w:before="240" w:after="120"/>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The following risk factors and other information included in this Quarterly Report on Form 10-Q (“Quarterly Report”), including our condensed consolidated financial statements and related notes thereto, as well as our Annual Report on Form 10-K for the fiscal year ended December 31, 2025 (“Annual Report”), including our financial statements and related notes thereto, should be carefully considered. The risks and uncertainties described below are not the only risks and uncertainties we face. Additional risks and uncertainties not presently known to us or that we presently deem less significant may also impair our business operations. Please see the discussion regarding some of the forward-looking statements that are qualified by these risk factors contained elsewhere in this Quarterly Report. If any of the following risks occur, our business, financial condition, results of operations and future growth prospects could be materially and adversely affected.</w:t>
      </w:r>
    </w:p>
    <w:p>
      <w:pPr>
        <w:pStyle w:val="TextBody"/>
        <w:bidi w:val="0"/>
        <w:spacing w:before="120" w:after="120"/>
        <w:jc w:val="left"/>
        <w:rPr>
          <w:rFonts w:ascii="Times New Roman" w:hAnsi="Times New Roman"/>
          <w:sz w:val="20"/>
        </w:rPr>
      </w:pPr>
      <w:r>
        <w:rPr>
          <w:rFonts w:ascii="Times New Roman" w:hAnsi="Times New Roman"/>
          <w:b/>
          <w:color w:val="000000"/>
          <w:sz w:val="20"/>
        </w:rPr>
        <w:t>Risks Related to Our Financial Position and Need for Additional Capital</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i/>
          <w:color w:val="000000"/>
          <w:sz w:val="20"/>
        </w:rPr>
        <w:t>We have incurred significant net losses since inception. We expect to incur net losses for the foreseeable future and may never achieve or maintain profitability.</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Since inception, we have not generated any revenue and have incurred significant operating losses. For the three months ended June 30, 2026 and 2025, our net loss was $62.8 million and $1,573.7 million, respectively. For the six months ended June 30, 2026 and 2025, our net loss was $282.4 million and $1,606.2 million, respectively. As of June 30, 2026, we had an accumulated deficit of $1,435.4 million. We have financed our operations primarily through the sale of our capital stock, including the sale of warrants to purchase our common stock. We have devoted all of our efforts to organizing and staffing our company, business and scientific planning, raising capital, acquiring and developing technology, identifying potential product candidates, undertaking studies of potential product candidates and evaluating a clinical path for our pipeline programs. We expect to continue to incur significant expenses and increasing operating losses for the foreseeable future. The net losses we incur may fluctuate significantly from quarter to quarter. We anticipate that our expenses will increase substantially if and as we: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advance and complete clinical trials of telitacicept in gMG and SjD;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initiate clinical development of telitacicept in additional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initiate additional research programs and development of other potential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initiate preclinical testing and clinical trials for any other product candidates we identify and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expand, enforce, defend and protect our intellectual property portfolio and provide reimbursement of third-party expenses related to our patent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marketing approvals for any product candidates that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adapt our regulatory compliance efforts to incorporate requirements applicable to marketed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hire additional research and development and clinical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hire commercial personnel and advance market access and reimbursement strategies;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 operational, financial and management information systems and personnel, including personnel to support our product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acquire or in-license product candidates, intellectual property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or in-license manufacturing and distribution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rely on collaborators or other third parties to manufacture current good manufacturing practices (“cGMP”) material for clinical trials or potential commercial sales;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commercialization infrastructure and develop internal and external manufacturing and distribution capabilities to commercialize any product candidates for which we may obtain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we decide to do so and receive approval for any of our product candidates, build and maintain, or purchase and validate, commercial-scale manufacturing facilities designed to comply with cGMP requirements;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operate as a public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not completed clinical development of any product candidate and expect that it will be years, if ever, before we have a product candidate ready for commercialization. To become and remain profitable, we must develop and, either directly or through collaborators, eventually commercialize a product or products with significant market potential. This will require us to be successful in a range of challenging activities, including identifying product candidates, completing preclinical testing and clinical trials of product candidates, obtaining marketing approval for these product candidates, manufacturing, marketing and selling those products for which we may obtain marketing approval and satisfying any post-marketing requirements. We may never succeed in these activities and, even if we do, may never generate revenues that are significant or large enough to achieve profitability. Our product candidate and research programs are currently in clinical development. Because of the numerous risks and uncertainties associated with developing product candidates, we are unable to predict the extent of any future losses or when we will become profitable, if at all.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could also cause our stockholders to lose all or part of their investments in us.</w:t>
      </w:r>
    </w:p>
    <w:p>
      <w:pPr>
        <w:pStyle w:val="TextBody"/>
        <w:bidi w:val="0"/>
        <w:jc w:val="left"/>
        <w:rPr>
          <w:rFonts w:ascii="Times New Roman" w:hAnsi="Times New Roman"/>
          <w:sz w:val="20"/>
        </w:rPr>
      </w:pPr>
      <w:r>
        <w:rPr>
          <w:rFonts w:ascii="Times New Roman" w:hAnsi="Times New Roman"/>
          <w:b/>
          <w:i/>
          <w:color w:val="000000"/>
          <w:sz w:val="20"/>
        </w:rPr>
        <w:t>We will need substantial additional funding. If we are unable to raise capital when needed, we would be forced to delay, reduce or eliminate our research and product development programs or future commercialization efforts.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our expenses to increase in connection with our ongoing activities, particularly as we continue the clinical development of telitacicept for the treatment of gMG and SjD and initiate clinical development of telitacicept in additional indications, and otherwise continue to advance our research programs in support of our pipeline. In addition, if we obtain marketing approval for any of our product candidates, we expect to incur significant commercialization expenses related to product sales, marketing, manufacturing and distribution to the extent that such sales, marketing, manufacturing and distribution are not the responsibility of a collaborator. Further, we expect to continue to incur significant additional costs associated with operating as a public company this year and in future years. Accordingly, we will need to obtain substantial additional funding in order to maintain our continuing operations. If we are unable to raise capital when needed or on attractive terms, we would be forced to delay, reduce or eliminate our research and product development programs or future commercialization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our cash, cash equivalents and marketable securities were $466.1 million. We expect that our existing cash, cash equivalents and marketable securities as of June 30, 2026, in addition to the $48.4 million of net proceeds received from sales of our common stock under the Stifel ATM Facility in July 2026, will enable us to fund our operating expenses and capital expenditure requirements into early 2029. However, our operating plan may change as a result of factors currently unknown to us, and we may need to seek funding sooner than planned. 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progress, results and costs of clinical trials for telitacicept;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researching, developing, and initiating clinical trials of telitacicept in additional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costs of discovery, acquisition or in-licensing, preclinical development, formulation, development and clinical trials for other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acquiring and expanding facilities to accommodate corporate, laboratory, and manufacturing needs;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preparing, filing and prosecuting patent applications, maintaining and enforcing our intellectual property and proprietary rights and defending intellectual property-related claims in the United States and internationally;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any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future activities, including product sales, medical affairs, marketing, manufacturing, distribution, coverage and reimbursement for any product candidates for which we receive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collaborations on favorable terms, if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collaborations, including ones we may establish, and of our license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achievement of milestones or occurrence of other developments that trigger payments under any collaboration agreements we enter;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acquire or in-license product candidates, intellectual property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develop or in-license manufacturing and distribution technologies;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operating as a public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Conducting preclinical testing and clinical trials is a time-consuming, expensive and uncertain process that takes years to complete, and we may never generate the necessary data or results required to obtain marketing approval and achieve product sales. In addition, even if we successfully develop product candidates and those are approved, we may not achieve commercial success. Our commercial revenues, if any, will be derived from sales of products that we do not expect to be commercially available for years, if at all. Accordingly, we will need to continue to rely on additional financing to achieve our business objectives.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additional fundraising efforts may divert our management from their day-to-day activities, which may adversely affect our ability to develop and commercialize product candidates. We cannot be certain that additional funding will be available on acceptable terms, or at all. We have no committed source of additional capital and, if we are unable to raise additional capital in sufficient amounts or on terms acceptable to us, we may have to significantly delay, scale back or discontinue the development or commercialization of product candidates or other research and development initiatives. Our license agreements and any future collaboration agreements may also be terminated if we are unable to meet the payment or other obligations under the agreements. We could be required to seek collaborators for product candidates at an earlier stage than otherwise would be desirable or on terms that are less favorable than might otherwise be available or relinquish or license on unfavorable terms our rights to product candidates in markets where we otherwise would seek to pursue development or commercialization ourselves.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obtain funding on a timely basis, we may be required to significantly curtail, delay or discontinue one or more of our research or development programs or the commercialization of any product candidate, or be unable to expand our operations or otherwise capitalize on our business opportunities, as desired, which could materially affect our business, financial condition and results of operations. Any of the above events could significantly harm our business, prospects, financial condition and results of operations and cause the price of our common stock to decline.</w:t>
      </w:r>
    </w:p>
    <w:p>
      <w:pPr>
        <w:pStyle w:val="TextBody"/>
        <w:bidi w:val="0"/>
        <w:jc w:val="left"/>
        <w:rPr>
          <w:rFonts w:ascii="Times New Roman" w:hAnsi="Times New Roman"/>
          <w:sz w:val="20"/>
        </w:rPr>
      </w:pPr>
      <w:r>
        <w:rPr>
          <w:rFonts w:ascii="Times New Roman" w:hAnsi="Times New Roman"/>
          <w:b/>
          <w:i/>
          <w:color w:val="000000"/>
          <w:sz w:val="20"/>
        </w:rPr>
        <w:t>Raising additional capital may cause dilution to our stockholders,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such time, if ever, as we can generate substantial product revenues, we expect to finance our cash needs through a combination of equity offerings, government or private party grants, debt financings, collaborations, strategic alliances and licensing arrangements. We do not currently have any committed external source of funds. To the extent that we raise additional capital through the sale of equity or convertible debt securities, including through the use of our at-the-market facility, our stockholders’ ownership interest will be diluted, and the terms of these securities may include liquidation or other preferences that adversely affect rights of our common stockholders. Debt financing and preferred equity financing, if available, may involve agreements that include covenants limiting or restricting our ability to take specific actions, such as incurring additional debt, making capital expenditures, declaring dividends and possibly other restrictions.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example, we have raised substantial amounts of capital through the issuance and sale of 11,500,000 shares of common stock in an underwritten public offering in November 2025, the issuance and sale of 13,876,032 shares of common stock in a private placement in December 2025, the issuance and sale of 5,338,078 shares of common stock in a private placement in March 2026, and sales made pursuant to our at-the-market facility. In addition, in December 2024, we issued and sold to certain institutional investors an aggregate of (i) 2,793,562 shares of common stock and (ii) warrants to purchase up to 3,491,953 shares of common stock (the “2024 Warrants”). In June 2025, we issued and sold to certain institutional investors warrants to purchase up to 34,999,999 shares of common stock (the “2025 PIPE Warrants”), and we also issued a warrant to purchase up to 16,000,000 shares of common stock (the “RemeGen Warrant”) as partial consideration for the Telitacicept License Agreement to a subsidiary of RemeGen. As of June 30, 2026, the 2024 Warrants and RemeGen Warrant remain outstanding and unexercised, and 19,522,260 of the 2025 PIPE Warrants remain outstanding and unexercised. In addition, as of June 30, 2026, we have outstanding options to purchase 7,545,245 shares of common stock, 604,285 performance stock units, and 373,811 restricted stock units, and we have 2,274,893 shares of common stock available for future issuance under our 2023 Inducement Plan, 517,674 shares of common stock available for future issuance under our Amended and Restated 2021 Equity Incentive Plan and 205,932 shares of common stock available for issuance under our Employee Stock Purchase Plan. Should all of these shares be issued, you would experience substantial dilution in ownership of our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raise funds through collaborations, strategic alliances or licensing arrangements with third parties, we may have to relinquish valuable rights to our technologies, future revenue streams, research programs or product candidates, or we may have to grant licenses on terms that may not be favorable to us or commit to providing us with future payment streams.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Market volatility may further adversely impact our ability to access capital as and when needed.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have a limited operating history, have not yet completed any clinical trials and have no history of commercializing products, which may make it difficult to evaluate the success of our business to date and to assess our future viability.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 clinical-stage company with no products approved for marketing. We were founded in December 2015 and commenced operations in February 2016. Our operations to date have been limited to organizing and staffing our company, business planning, raising capital, acquiring and developing our platform and technology, identifying product candidates and undertaking studies. Prior to our in-license of telitacicept from Remegen in June 2025, our efforts were focused on developing engineered hematopoietic stem cell transplants, chimeric antigen receptor-T cell therapies and antibody drug conjugates for the treatment of acute myeloid leukemia. We are currently developing telitacicept in global Phase 3 clinical trials for the treatment of gMG and SjD. The risk of failure for these activities is high. We have not yet demonstrated an ability to successfully complete any clinical trials, including large-scale, pivotal clinical trials, obtain marketing approvals, manufacture a commercial-scale product or arrange for a third party to do so on our behalf or conduct sales and marketing activities necessary for successful commercialization. Consequently, any predictions made about our future success or viability may not be as accurate as they could be if we had a longer operating history.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limited operating history may make it difficult to evaluate our technology and industry and predict our future performance. Our short history as an operating company makes any assessment of our future success or viability subject to significant uncertainty. We expect to encounter risks and difficulties frequently experienced by early stage companies in new and rapidly evolving fields. If we do not address these risks and difficulties successfully, our business could suffer.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encounter other unforeseen expenses, difficulties, complications, delays and other known and unknown factors. We will need to transition from a company with a research focus to a company capable of supporting commercial activities. We may not be successful in such a transition. </w:t>
      </w:r>
    </w:p>
    <w:p>
      <w:pPr>
        <w:pStyle w:val="TextBody"/>
        <w:bidi w:val="0"/>
        <w:jc w:val="left"/>
        <w:rPr>
          <w:rFonts w:ascii="Times New Roman" w:hAnsi="Times New Roman"/>
          <w:sz w:val="20"/>
        </w:rPr>
      </w:pPr>
      <w:r>
        <w:rPr>
          <w:rFonts w:ascii="Times New Roman" w:hAnsi="Times New Roman"/>
          <w:b/>
          <w:i/>
          <w:color w:val="000000"/>
          <w:sz w:val="20"/>
        </w:rPr>
        <w:t>We have never generated revenue from product sales and may never become profitable.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generate revenue from product sales and achieve profitability depends on our ability, alone or with collaborators, to successfully complete the development of, and obtain the regulatory approvals necessary to commercialize, product candidates. We do not anticipate generating revenues from product sales for the next several years, if ever. Our ability to generate future revenue from product sales depends heavily on our, or our current or future collaborators’, ability to successfully: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and complete clinical trials of our product candidates, including telitacicept;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complete research and preclinical and clinical development of any other product candidates we may identify;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and obtain regulatory and marketing approvals for any product candidates for which we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 and commercialize any product candidates for which we obtain regulatory and marketing approval by establishing a sales force, marketing and distribution infrastructure or, alternatively, collaborating with a commercialization partner;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qualify for coverage and adequate reimbursement by government and third-party payors for any product candidates for which we obtain regulatory and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and maintain supply and manufacturing relationships with third parties that can provide adequate, in both amount and quality, products and services to support clinical development and the market demand for any product candidates for which we obtain regulatory and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market acceptance of product candidates as viable treatment options;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implement internal systems and infrastructure, as needed;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negotiate favorable terms in any collaboration, licensing or other arrangements into which we may enter and perform our obligations in such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protect, enforce, defend and expand our portfolio of intellectual property rights, including patents, trade secrets and know-how, in the United States and internationally;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avoid and defend against third-party interference, infringement and other intellectual property claims in the United States and internationally;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 hire and retain qualified personnel.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one or more of the product candidates we develop are approved for commercial sale, we anticipate incurring significant costs associated with commercializing any approved product candidate. Our expenses could increase beyond expectations if we are required by the U.S. Food and Drug Administration (the “FDA”), the European Medicines Agency (the “EMA”) or other regulatory authorities to perform clinical and other studies in addition to those that we currently anticipate. Even if we are able to generate revenues from the sale of any approved product candidates, we may not become profitable and may need to obtain additional funding to continue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stockholders to lose all or part of their investment in us. </w:t>
      </w:r>
    </w:p>
    <w:p>
      <w:pPr>
        <w:pStyle w:val="TextBody"/>
        <w:bidi w:val="0"/>
        <w:jc w:val="left"/>
        <w:rPr>
          <w:rFonts w:ascii="Times New Roman" w:hAnsi="Times New Roman"/>
          <w:sz w:val="20"/>
        </w:rPr>
      </w:pPr>
      <w:r>
        <w:rPr>
          <w:rFonts w:ascii="Times New Roman" w:hAnsi="Times New Roman"/>
          <w:b/>
          <w:i/>
          <w:color w:val="000000"/>
          <w:sz w:val="20"/>
        </w:rPr>
        <w:t>Our ability to utilize our net operating loss carryforwards and certain other tax attributes to offset taxable income or taxes may be limited.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we had gross federal net operating loss carryforwards of $411.7 million including $409.8 million that had an indefinite carryforward period and $1.9 million that were subject to expiration at various dates through 2037. Furthermore, we have state and local net operating loss carryforwards of $389.4 million which will expire at various dates through 2045. Portions of these net operating loss carryforwards could expire unused and be unavailable to offset future income tax liabilities. Under the legislation enacted in 2017, informally titled the Tax Cuts and Jobs Act (the “Tax Act”), as modified by the Coronavirus Aid, Relief, and Economic Security (the “CARES Act”) U.S. federal net operating losses incurred in taxable years beginning after December 31, 2017, may be carried forward indefinitely, but the deductibility of such federal net operating losses in taxable years beginning after December 31, 2020, may be limited. It is uncertain how various states will respond to the Tax Act and the CARES Act. For state income tax purposes, there may be periods during which the use of net operating loss carryforwards is suspended or otherwise limited, which could accelerate or permanently increase state taxes owed. In addition, under Sections 382 and 383 of the Internal Revenue Code of 1986, as amended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The completion of our initial public offering, together with private placements and other transactions that have occurred since our inception, may trigger such an ownership change pursuant to Section 382 of the Code. We have not yet completed a Section 382 analysis, and therefore, there can be no assurances that our net operating losses are not already limited. We may experience ownership changes as a result of subsequent shifts in our stock ownership, some of which may be outside of our control. If an ownership change occurs and our ability to use our net operating loss carryforwards is materially limited, it would harm our future operating results by effectively increasing our future tax obligations. There is a full valuation allowance for net deferred tax assets, including net operating loss carryforwards. </w:t>
      </w:r>
    </w:p>
    <w:p>
      <w:pPr>
        <w:pStyle w:val="TextBody"/>
        <w:bidi w:val="0"/>
        <w:jc w:val="left"/>
        <w:rPr>
          <w:rFonts w:ascii="Times New Roman" w:hAnsi="Times New Roman"/>
          <w:sz w:val="20"/>
        </w:rPr>
      </w:pPr>
      <w:r>
        <w:rPr>
          <w:rFonts w:ascii="Times New Roman" w:hAnsi="Times New Roman"/>
          <w:b/>
          <w:color w:val="000000"/>
          <w:sz w:val="20"/>
        </w:rPr>
        <w:t>Risks Related to Development, Manufacturing and Commercialization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We are substantially dependent on the success of our lead product candidate, telitacicept. If we are unable to complete development of, obtain approval for and commercialize telitacicept</w:t>
      </w:r>
      <w:r>
        <w:rPr>
          <w:rFonts w:ascii="Times New Roman" w:hAnsi="Times New Roman"/>
          <w:color w:val="000000"/>
          <w:sz w:val="20"/>
        </w:rPr>
        <w:t xml:space="preserve"> </w:t>
      </w:r>
      <w:r>
        <w:rPr>
          <w:rFonts w:ascii="Times New Roman" w:hAnsi="Times New Roman"/>
          <w:b/>
          <w:i/>
          <w:color w:val="000000"/>
          <w:sz w:val="20"/>
        </w:rPr>
        <w:t>in a timely manner, our business will be harmed.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success is dependent on our ability to timely advance and complete clinical trials, obtain marketing approval for and successfully commercialize our lead product candidate, telitacicept. We are investing significant efforts and financial resources in the research and development of telitacicept. Telitacicept is currently in global Phase 3 clinical trials for the treatment of gMG and SjD, and will require additional clinical development, evaluation of clinical and manufacturing activities, marketing approval from government regulators, substantial investment and significant marketing efforts before we can generate any revenues from product sales. We are not permitted to market or promote telitacicept or any other product candidate before we receive marketing approval from the FDA and comparable foreign regulatory authorities, and we may never receive such marketing approvals.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success of telitacicept will depend on several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or acceptance to initiate clinical trials by the applicable regulatory authorities in each country where we plan to conduct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acceptance of individual investigational review boards (“IRBs”) and scientific review committees at each clinical trial site as to the adequacy of the preclinical data package to support clinical development of telitacicept and their overall general agreement with the use of telitacicept in the intended patient population in the intended manner;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clinical investigators to place patients in clinical trials, and the willingness of patients to enroll in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and timely completion of the global Phase 3 clinical trials of telitacicept in gMG and SjD;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initiation and successful patient enrollment and completion of additional clinical trials of telitacicept on a timely basis;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and establishing relationships with contract research organizations (“CROs”) and clinical sites for the clinical development of these programs both in the United States and internationally;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frequency and severity of adverse events in the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clinical trials conducted by third parties, including RemeGen, in autoimmune disorders if such trials result in changes to the standard of care for autoimmune disorders;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safety and tolerability profiles that are satisfactory to the FDA, the EMA or any comparable foreign regulatory authority for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timely receipt of marketing approvals for our programs from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of any required post-marketing approval commitments to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maintenance of existing or the establishment of new supply arrangements with third-party suppliers and manufacturers for clinical development of our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arrangements with third-party manufacturers to produce finished products that are appropriate for commercial sale of our programs,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patent protection, trade secret protection and regulatory exclusivity, both in the United States and internationally;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protection of our rights in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successful launch of commercial sales following any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continued acceptable safety profile following any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commercial acceptance by patients, the medical community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coverage and adequate reimbursement from third-party payors for our products and patients’ willingness to pay out-of-pocket in the absence of such coverage and adequate reimbursement;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compete with other treatments.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telitacicept, which would materially harm our business. If we do not receive marketing approval for telitacicept, we may not be able to continue our operations. </w:t>
      </w:r>
    </w:p>
    <w:p>
      <w:pPr>
        <w:pStyle w:val="TextBody"/>
        <w:bidi w:val="0"/>
        <w:jc w:val="left"/>
        <w:rPr>
          <w:rFonts w:ascii="Times New Roman" w:hAnsi="Times New Roman"/>
          <w:b/>
          <w:i/>
          <w:color w:val="000000"/>
          <w:sz w:val="20"/>
        </w:rPr>
      </w:pPr>
      <w:r>
        <w:rPr>
          <w:rFonts w:ascii="Times New Roman" w:hAnsi="Times New Roman"/>
          <w:b/>
          <w:i/>
          <w:color w:val="000000"/>
          <w:sz w:val="20"/>
        </w:rPr>
        <w:t>We may derive results and data for telitacicept from clinical trials conducted by RemeGen; our access to the clinical results and data may be limited or delayed and there is no assurance that the clinical data from any such trials will be accepted or considered by the FDA, or other comparable regulatory authorities.</w:t>
      </w:r>
    </w:p>
    <w:p>
      <w:pPr>
        <w:pStyle w:val="TextBody"/>
        <w:bidi w:val="0"/>
        <w:jc w:val="left"/>
        <w:rPr>
          <w:rFonts w:ascii="Times New Roman" w:hAnsi="Times New Roman"/>
          <w:color w:val="000000"/>
          <w:sz w:val="20"/>
        </w:rPr>
      </w:pPr>
      <w:r>
        <w:rPr>
          <w:rFonts w:ascii="Times New Roman" w:hAnsi="Times New Roman"/>
          <w:color w:val="000000"/>
          <w:sz w:val="20"/>
        </w:rPr>
        <w:t xml:space="preserve">RemeGen has received regulatory approval in China for telitacicept for the treatment of gMG, RA, SLE, IgA nephropathy, and SjD and has conducted and is conducting clinical trials of telitacicept in additional indications. While these trials may provide us with clinical data that can inform our future development strategy, we do not have control over the protocols, administration, or conduct of the trials or their compliance with regulatory requirements. There is also no assurance that the clinical data from any such clinical trials will be accepted or considered by the FDA or other comparable regulatory authorities. We have no control over the conduct and timing of, and communications with the National Medical Products Administration (“NMPA”) or other foreign regulatory agencies in Greater China with respect to, the trials that RemeGen is conducting for telitacicept. In addition, our access to the clinical results and data from these trials may be limited or delayed, which could adversely affect our development timelines and regulatory submissions.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data integrity issues or patient safety issues arising out of any of these trials would be beyond our control, yet could adversely affect our reputation and damage the clinical and commercial prospects for our product candidates.</w:t>
      </w:r>
    </w:p>
    <w:p>
      <w:pPr>
        <w:pStyle w:val="TextBody"/>
        <w:bidi w:val="0"/>
        <w:jc w:val="left"/>
        <w:rPr>
          <w:rFonts w:ascii="Times New Roman" w:hAnsi="Times New Roman"/>
          <w:b/>
          <w:i/>
          <w:color w:val="000000"/>
          <w:sz w:val="20"/>
        </w:rPr>
      </w:pPr>
      <w:r>
        <w:rPr>
          <w:rFonts w:ascii="Times New Roman" w:hAnsi="Times New Roman"/>
          <w:b/>
          <w:i/>
          <w:color w:val="000000"/>
          <w:sz w:val="20"/>
        </w:rPr>
        <w:t>We are dependent on third parties accurately generating and reporting data related to our product candidates, and their conduct could adversely affect our business.</w:t>
      </w:r>
    </w:p>
    <w:p>
      <w:pPr>
        <w:pStyle w:val="TextBody"/>
        <w:bidi w:val="0"/>
        <w:jc w:val="left"/>
        <w:rPr>
          <w:rFonts w:ascii="Times New Roman" w:hAnsi="Times New Roman"/>
          <w:color w:val="000000"/>
          <w:sz w:val="20"/>
        </w:rPr>
      </w:pPr>
      <w:r>
        <w:rPr>
          <w:rFonts w:ascii="Times New Roman" w:hAnsi="Times New Roman"/>
          <w:color w:val="000000"/>
          <w:sz w:val="20"/>
        </w:rPr>
        <w:t>We have and may in the future acquire or in-license our product candidates at various stages of development. For example, we in-licensed telitacicept from RemeGen. Our assumptions about the potential of telitacicept are partially based on data generated from preclinical studies and clinical trials conducted by RemeGen. We are dependent on RemeGen having conducted its research and development in accordance with the applicable protocols, informed consent, legal and regulatory requirements, and scientific standards, having accurately reported the results of all studies conducted, and having correctly collected the data from these studies. If these activities were not compliant, accurate or correct, the clinical development, regulatory approval or commercialization of telitacicept will be adversely affected.</w:t>
      </w:r>
    </w:p>
    <w:p>
      <w:pPr>
        <w:pStyle w:val="TextBody"/>
        <w:bidi w:val="0"/>
        <w:jc w:val="left"/>
        <w:rPr>
          <w:rFonts w:ascii="Times New Roman" w:hAnsi="Times New Roman"/>
          <w:color w:val="000000"/>
          <w:sz w:val="20"/>
        </w:rPr>
      </w:pPr>
      <w:r>
        <w:rPr>
          <w:rFonts w:ascii="Times New Roman" w:hAnsi="Times New Roman"/>
          <w:color w:val="000000"/>
          <w:sz w:val="20"/>
        </w:rPr>
        <w:t>Additionally, in cases where third parties conduct clinical trials using our product candidates through partnership or licensing agreements, we face additional risks related to the conduct and outcome of those trials that are outside of our direct control. For example, issues such as poor data integrity, safety concerns, protocol violations, or failure to meet endpoints in these third-party trials could adversely impact the development timeline and regulatory approval process for those product candidates in other indications or territories, require additional studies, create negative market perception affecting future commercial potential, impact our ability to pursue strategic alternatives for such product candidates, or result in increased regulatory scrutiny across our programs.</w:t>
      </w:r>
    </w:p>
    <w:p>
      <w:pPr>
        <w:pStyle w:val="TextBody"/>
        <w:bidi w:val="0"/>
        <w:jc w:val="left"/>
        <w:rPr>
          <w:rFonts w:ascii="Times New Roman" w:hAnsi="Times New Roman"/>
          <w:b/>
          <w:i/>
          <w:color w:val="000000"/>
          <w:sz w:val="20"/>
        </w:rPr>
      </w:pPr>
      <w:r>
        <w:rPr>
          <w:rFonts w:ascii="Times New Roman" w:hAnsi="Times New Roman"/>
          <w:b/>
          <w:i/>
          <w:color w:val="000000"/>
          <w:sz w:val="20"/>
        </w:rPr>
        <w:t>Our clinical trials may fail to demonstrate the safety and efficacy of our product candidates, or serious adverse or unacceptable side effects may be identified during the development of our product candidates, which could increase our costs or necessitate the abandonment or limitation of the development of our product candidates.</w:t>
      </w:r>
    </w:p>
    <w:p>
      <w:pPr>
        <w:pStyle w:val="TextBody"/>
        <w:bidi w:val="0"/>
        <w:jc w:val="left"/>
        <w:rPr>
          <w:rFonts w:ascii="Times New Roman" w:hAnsi="Times New Roman"/>
          <w:color w:val="000000"/>
          <w:sz w:val="20"/>
        </w:rPr>
      </w:pPr>
      <w:r>
        <w:rPr>
          <w:rFonts w:ascii="Times New Roman" w:hAnsi="Times New Roman"/>
          <w:color w:val="000000"/>
          <w:sz w:val="20"/>
        </w:rPr>
        <w:t>If our product candidates are associated with side effects in clinical trials or have characteristics that are unexpected, our costs could increase or we may need to abandon their development or limit development to more narrow uses in which the side effects or other characteristics are less prevalent, less severe or more acceptable from a risk-benefit perspective. The FDA or an IRB may also require that we suspend, discontinue, or limit our clinical trials based on safety information. Such findings could further result in regulatory authorities failing to provide marketing authorization for our product candidates. Many product candidates that initially showed promise in early-stage testing have later been found to cause side effects that prevented further development of the product candidate.</w:t>
      </w:r>
    </w:p>
    <w:p>
      <w:pPr>
        <w:pStyle w:val="TextBody"/>
        <w:bidi w:val="0"/>
        <w:jc w:val="left"/>
        <w:rPr>
          <w:rFonts w:ascii="Times New Roman" w:hAnsi="Times New Roman"/>
          <w:color w:val="000000"/>
          <w:sz w:val="20"/>
        </w:rPr>
      </w:pPr>
      <w:r>
        <w:rPr>
          <w:rFonts w:ascii="Times New Roman" w:hAnsi="Times New Roman"/>
          <w:color w:val="000000"/>
          <w:sz w:val="20"/>
        </w:rPr>
        <w:t>Before we can obtain marketing approvals for the commercial sale of our product candidates, we must demonstrate through lengthy, complex and expensive preclinical testing and clinical trials that our product candidates are both safe and effective for use in each target indication, and failures can occur at any stage of testing. Clinical trials often fail to demonstrate safety and efficacy of the product candidate studied for the target indication.</w:t>
      </w:r>
    </w:p>
    <w:p>
      <w:pPr>
        <w:pStyle w:val="TextBody"/>
        <w:bidi w:val="0"/>
        <w:jc w:val="left"/>
        <w:rPr>
          <w:rFonts w:ascii="Times New Roman" w:hAnsi="Times New Roman"/>
          <w:color w:val="000000"/>
          <w:sz w:val="20"/>
        </w:rPr>
      </w:pPr>
      <w:r>
        <w:rPr>
          <w:rFonts w:ascii="Times New Roman" w:hAnsi="Times New Roman"/>
          <w:color w:val="000000"/>
          <w:sz w:val="20"/>
        </w:rPr>
        <w:t>Additionally, if we or others identify undesirable side effects caused by our product candidates, a number of potentially significant negative consequences could result,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need to abandon the development or limit the further development of our product candidates, including in various populations and for certain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withdraw approval to market such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additional warnings on the labels;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medication guide outlining the risks of such side effects for distribution to patients may be required;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sued and held liable for harm caused to patients;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reputation and physician or patient acceptance of our product candidates, if approved, may suffer.</w:t>
      </w:r>
    </w:p>
    <w:p>
      <w:pPr>
        <w:pStyle w:val="TextBody"/>
        <w:bidi w:val="0"/>
        <w:jc w:val="left"/>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subject data become available and are subject to audit and verification procedures that could result in material changes in the final data.</w:t>
      </w:r>
    </w:p>
    <w:p>
      <w:pPr>
        <w:pStyle w:val="TextBody"/>
        <w:bidi w:val="0"/>
        <w:jc w:val="left"/>
        <w:rPr>
          <w:rFonts w:ascii="Times New Roman" w:hAnsi="Times New Roman"/>
          <w:color w:val="000000"/>
          <w:sz w:val="20"/>
        </w:rPr>
      </w:pPr>
      <w:r>
        <w:rPr>
          <w:rFonts w:ascii="Times New Roman" w:hAnsi="Times New Roman"/>
          <w:color w:val="000000"/>
          <w:sz w:val="20"/>
        </w:rPr>
        <w:t xml:space="preserve">From time to time, we may publicly disclose interim, topline or preliminary data from our clinical trials, which are based on a preliminary analysis of then-available data, and the results and related findings and conclusions are subject to change following a full analysis of all data related to the particular trial. We also make assumptions, estimations, calculations and conclusions as part of our analyses of data, and we may not have received or had the opportunity to fully and carefully evaluate all data. In addition, we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report preliminary analyses of only certain endpoints rather than all endpoints. As a result, the interim, topline or preliminary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interim, topline and preliminary data should be viewed with caution until the final data are available. We may also disclose interim data from our clinical trials. Interim data from clinical trials that we may complete are subject to the risk that one or more of the clinical outcomes may materially change as subject enrollment continues and more subject data become available. Adverse differences between interim, topline or preliminary data and final data could significantly harm our reputation and business prospects. Further, disclosure of interim, topline or preliminary data by us or by our competitors could result in volatility in the price of our common stock.</w:t>
      </w:r>
    </w:p>
    <w:p>
      <w:pPr>
        <w:pStyle w:val="TextBody"/>
        <w:bidi w:val="0"/>
        <w:jc w:val="left"/>
        <w:rPr>
          <w:rFonts w:ascii="Times New Roman" w:hAnsi="Times New Roman"/>
          <w:color w:val="000000"/>
          <w:sz w:val="20"/>
        </w:rPr>
      </w:pPr>
      <w:r>
        <w:rPr>
          <w:rFonts w:ascii="Times New Roman" w:hAnsi="Times New Roman"/>
          <w:color w:val="000000"/>
          <w:sz w:val="20"/>
        </w:rPr>
        <w:t>Further, others, including regulatory agencies, may not accept or agree with our assumptions, estimates, calculations, conclusions or analyses or may interpret or weigh the importance of data differently, which could impact the potential of the particular program, the likelihood of marketing approval or commercialization of the particular product candidate, any approved product, and our company in general.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program, product candidate or our business.</w:t>
      </w:r>
    </w:p>
    <w:p>
      <w:pPr>
        <w:pStyle w:val="TextBody"/>
        <w:bidi w:val="0"/>
        <w:jc w:val="left"/>
        <w:rPr>
          <w:rFonts w:ascii="Times New Roman" w:hAnsi="Times New Roman"/>
          <w:color w:val="000000"/>
          <w:sz w:val="20"/>
        </w:rPr>
      </w:pPr>
      <w:r>
        <w:rPr>
          <w:rFonts w:ascii="Times New Roman" w:hAnsi="Times New Roman"/>
          <w:color w:val="000000"/>
          <w:sz w:val="20"/>
        </w:rPr>
        <w:t>If the interim, topline or preliminary data that we report differ from actual results, or if others, including regulatory authorities, disagree with the conclusions reached, our ability to further develop, obtain marketing approval for and/or commercialize our product candidates may be harmed, which could harm our business, operating results, prospects or financial condition.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Success in preclinical studies or clinical trials may not be indicative of results in future clinical trials, particularly for clinical trials that involve only a small number of patients.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Results from preclinical studies are not necessarily predictive of future clinical trial results, and interim results of a clinical trial are not necessarily indicative of final results. This risk is heightened when clinical trials involve only a small number of patients, which makes it difficult to predict whether early results from these trials will be indicative of the final results of the trials or be replicated in future trials. Further, success in preclinical studies and earlier stage clinical trials of telitacicept conducted by RemeGen, or the fact that telitacicept has received marketing approval in China in multiple indications, does not ensure that later clinical trials conducted by us will generate the same results or otherwise provide adequate data to demonstrate the efficacy and safety of telitacicept for regulatory approval by the FDA or other comparable foreign regulatory authorities. For example, the results of RemeGen’s Phase 3 clinical trials of telitacicept in gMG and SjD may not be replicated in our ongoing global Phase 3 clinical trials of telitacicept in gMG and SjD due to a variety of factors, including differences in trial design, patient demographics and enrollment and placebo rates. Our product candidates may fail to show the desired safety and efficacy in clinical development despite positive results in preclinical studies or having successfully advanced through initial clinical trials. This failure to establish sufficient efficacy and safety could cause us to abandon clinical development of our product candidates.</w:t>
      </w:r>
    </w:p>
    <w:p>
      <w:pPr>
        <w:pStyle w:val="TextBody"/>
        <w:bidi w:val="0"/>
        <w:jc w:val="left"/>
        <w:rPr>
          <w:rFonts w:ascii="Times New Roman" w:hAnsi="Times New Roman"/>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we have limited financial and managerial resources, we focus on product candidates and research programs that we identify for specific indications among many potential options.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product candidates and research and development programs for specific indications may not yield any commercially viable products. For example, in 2025 we wound down our then-ongoing clinical and manufacturing operations and clinical trials and, after a strategic evaluation process, in June 2025 we entered into a license agreement with RemeGen related to telitacicept and focused our operations on the development of that clinical program. Further,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Any such event could have a material adverse effect on our business, financial condition, results of operations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Even if a product candidate receives marketing approval, it may fail to achieve the degree of market acceptance by physicians, patients, healthcare payors and others in the medical community necessary for commercial success.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commercial success of our product candidates, if approved, will depend upon their degree of market acceptance by physicians, patients, third-party payors and others in the medical community. Even if any product candidate we develop receives marketing approval, it may nonetheless fail to gain sufficient market acceptance by physicians, patients, healthcare payors and others in the medical community. The degree of market acceptance of any product candidate we develop, if approved for commercial sale,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safety of such product candidate as demonstrated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safety of other products that are used in combination or in sequence with our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and perceived advantages of our product candidates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limitation to our targeted patient population and limitations or warnings contained in approved labeling by the FDA or other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offer our products for sale at competitive prices;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convenience and ease of administration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the product candidate is approved by the FDA, the EMA or other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the target patient population to try novel biologics and of physicians to prescribe these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labeling or product insert requirements of the FDA, the EMA or other regulatory authorities, including any limitations or warnings contained in a product’s approved labeling;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relative convenience and ease of administration;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publicity concerning our products or competing products and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of marketing and distribution support;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availability of third-party coverage and sufficiency of reimbursement; and</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side effects.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a product candidate is approved, such product may not achieve an adequate level of acceptance, we may not generate significant product revenues, and we may not become profitable. </w:t>
      </w:r>
    </w:p>
    <w:p>
      <w:pPr>
        <w:pStyle w:val="TextBody"/>
        <w:bidi w:val="0"/>
        <w:jc w:val="left"/>
        <w:rPr>
          <w:rFonts w:ascii="Times New Roman" w:hAnsi="Times New Roman"/>
          <w:sz w:val="20"/>
        </w:rPr>
      </w:pPr>
      <w:r>
        <w:rPr>
          <w:rFonts w:ascii="Times New Roman" w:hAnsi="Times New Roman"/>
          <w:b/>
          <w:i/>
          <w:color w:val="000000"/>
          <w:sz w:val="20"/>
        </w:rPr>
        <w:t>If, in the future, we are unable to establish sales and marketing capabilities or enter into agreements with third parties to sell and market our product candidates, we may not be successful in commercializing those product candidates if and when they are approved.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have a sales or marketing infrastructure and have limited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Factors that may inhibit our efforts to commercialize our product candidates on our own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recruit and retain adequate numbers of effective sales, marketing, reimbursement, customer service, medical affairs and other support personnel;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of sales personnel to obtain access to physicians or educate adequate numbers of physicians on the benefits of prescribing any future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of reimbursement professionals to negotiate arrangements for formulary access, reimbursement and other acceptance by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restricted or closed distribution channels that make it difficult to distribute our product candidates to segments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lack of complementary products to be offered by sales personnel, which may put us at a competitive disadvantage relative to companies with more extensive product lines;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unforeseen costs and expenses associated with creating an independent commercialization organization.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enter into arrangements with third parties to perform sales, marketing, commercial support and distribution services, our product revenues or the profitability of these product revenues to us may be lower than if we were to market and sell products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w:t>
      </w:r>
    </w:p>
    <w:p>
      <w:pPr>
        <w:pStyle w:val="TextBody"/>
        <w:bidi w:val="0"/>
        <w:jc w:val="left"/>
        <w:rPr>
          <w:rFonts w:ascii="Times New Roman" w:hAnsi="Times New Roman"/>
          <w:sz w:val="20"/>
        </w:rPr>
      </w:pPr>
      <w:r>
        <w:rPr>
          <w:rFonts w:ascii="Times New Roman" w:hAnsi="Times New Roman"/>
          <w:b/>
          <w:i/>
          <w:color w:val="000000"/>
          <w:sz w:val="20"/>
        </w:rPr>
        <w:t>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product candidates, if approved.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development and commercialization of new drug and biologic products is highly competitive. We will face competition with respect to our product candidates that we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Competition in the autoimmune field is intense and involves multiple monoclonal antibodies (mAbs), other biologics and small molecules either already marketed or in development by many different companies including large pharmaceutical companies such as Alexion Pharmaceuticals, Inc. (Solaris and Ultomiris/Myasthenia Gravis), Amgen Inc. (“Amgen”) (Uplinza/Myasthenia Gravis), Argenx SE (VYVGART and VYVGART HYTRULO/Myasthenia Gravis), UCB S.A. (Rystiggo and Zilbrysq/Myasthenia Gravis), Johnson &amp; Johnson (Imaavy/Myasthenia Gravis), GlaxoSmithKline plc (Benlysta/lupus), F. Hoffman-La Roche AG (Rituxan/often used off label).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face and expect to continue to face intense competition from other biopharmaceutical companies, who have launched or are developing products for the treatment of gMG and other autoimmune diseases. Competition for other indications is also fierce, with significant development in almost all of the indications we may develop for our product candidates. Novartis AG, CSL Behring, Grifols, S.A., Curavac, Inc., Takeda Pharmaceutical Company Limited, Immunovant, Inc., Cartesian Therapeutics, Inc., Amgen, Kyverna Therapeutics, Inc., Dianthus Therapeutics, Inc., Johnson &amp; Johnson, Bristol-Myers Squibb Company, and Regeneron Pharmaceuticals Inc./Alnylam Pharmaceuticals, Inc., among others, are developing drugs that may have utility for the treatment of myasthenia gravis (MG) or Sjögren’s Disease (SjD).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product candidates that we successfully develop and commercialize will compete with existing therapies and new therapies that may become available in the future that are approved to treat the same diseases for which we may obtain approval for our product candidates. This may include other types of therapies, such as small molecule, CAR-T, antibody and/or protein therapies.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of our current or potential competitors, either alone or with their collaboration partners, may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 candidates that are safer, more effective, have fewer or less severe side effects, are more convenient or are less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expensive than our product candidates or that would render our product candidates obsolete or non-competitive. Our competitors also may obtain FDA or other regulatory approval for their product candidates more rapidly than we may obtain approval for ours, which could result in our competitors establishing a strong market position before we are able to enter the market. Additionally, technologies developed by our competitors may render our product candidates uneconomical or obsolete, and we may not be successful in marketing any product candidates against competitors.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as a result of the expiration or successful challenge of our patent rights, we could face more litigation with respect to the validity and/or scope of patents relating to our competitors’ products. The availability of our competitors’ products could limit the demand, and the price we are able to charge, for our product candidates, if approved.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Negative developments in the field of protein-based therapies, including in particular fusion protein therapies or approved therapies or therapies in development for the treatment of B cell-mediated autoimmune diseases, could damage public perception of our product candidate and negatively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commercial success of our product candidate will depend in part on public acceptance of the use of fusion protein therapies constructed by joining two or more domains encoded by different genes, as well as protein-based therapies more generally, including in particular approved therapies or therapies that are in development for the treatment of B cell-mediated autoimmune diseases. Telitacicept is a novel fusion protein in development for treating B cell-mediated autoimmune diseases that inhibits both BLyS (BAFF) and APRIL. Adverse events in post marketing use in any country in any approved indication or off label use, in clinical trials of our product candidate or in clinical trials of others developing similar product candidates, including RemeGen, and the resulting publicity, as well as any other negative developments that may occur in the future, including in connection with competitors’ therapies, could result in a decrease in demand for our product candidate. These events could also result in the suspension, discontinuation, or clinical hold of, or modifications to, our clinical trials. Our product candidate may not be accepted by the general public or the medical community and potential clinical trial subjects may be discouraged from enrolling in our clinical trials or early terminated from the clinical trials. As a result, we may not be able to continue, or may be delayed in conducting, our development programs.</w:t>
      </w:r>
    </w:p>
    <w:p>
      <w:pPr>
        <w:pStyle w:val="TextBody"/>
        <w:bidi w:val="0"/>
        <w:spacing w:before="240" w:after="283"/>
        <w:jc w:val="left"/>
        <w:rPr>
          <w:rFonts w:ascii="Times New Roman" w:hAnsi="Times New Roman"/>
          <w:sz w:val="20"/>
        </w:rPr>
      </w:pPr>
      <w:r>
        <w:rPr>
          <w:rFonts w:ascii="Times New Roman" w:hAnsi="Times New Roman"/>
          <w:b/>
          <w:i/>
          <w:color w:val="000000"/>
          <w:sz w:val="20"/>
        </w:rPr>
        <w:t>If product liability lawsuits are brought against us, we may incur substantial liabilities and may be required to limit commercialization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face an inherent risk of product liability exposure related to the testing in human clinical trials of our product candidates and will face an even greater risk if we commercially sell any products that we may develop. For example, we may be sued if our product candidates cause, or are perceived to cause, injury or are found to be otherwise unsuitable during clinical trials,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claims that our product candidates or products caused injuries, we could incur substantial liabilities. Regardless of merit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any products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our product candidates or products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and significant negative media attention;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time and costs to defend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trial participants or patients;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Insurance coverage is also increasingly expensive and we may not be able to maintain insurance coverage at a reasonable cost or in an amount adequate to satisfy any liability that may arise.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Fusion protein therapies are novel, complex and difficult to manufacture. We could experience manufacturing problems that result in delays in the development or commercialization of telitacicept or other product candidates or otherwise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manufacture of fusion proteins, such as telitacicept, is technically complex and necessitates substantial expertise and capital investment. Production difficulties caused by unforeseen events may delay the availability of material for clinical trials and commercial products for telitacicept, if approved, or any fusion protein product that we may develop in the future. Additionally,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biologic products are complex, the manufacture of such product candidates is more difficult and costly. We may not be able to have such products reliably manufactured in accordance with the applicable regulatory requirements in sufficient quantities to support our development programs and, if ultimately approved, commercial supply.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a limited number of contract manufacturers who specialize in the manufacture of biologic products and those that do may still be developing appropriate processes, controls and facilities for large-scale production. While we believe that there will be sufficient sources of supply that can satisfy our clinical and commercial requirements, we cannot be certain that we will be able to identify and establish additional relationships with such sources, if necessary, in a timely manner or at all, and what the terms and costs of such new arrangements would be, or that such suppliers would be able to supply our potential commercial needs. Furthermore, in the event our primary manufacturer cannot meet our needs, any switch to an alternative manufacturer, if available, would result in a significant delay, would require FDA approval, and cause material additional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manufacturers of biologic products must comply with strictly enforced cGMP requirements, state and federal regulations, as well as foreign requirements when applicable. Any failure by us or our contract manufacturing organizations to adhere to or document compliance with such regulatory requirements could lead to a delay or interruption in the availability of drug product for clinical trials or commercial use, among other consequences. If we or our manufacturers fail to comply with the FDA, EMA, or other regulatory authorities, it could result in sanctions being imposed on us, including fines, injunctions, civil penalties, delays, suspension or withdrawal of approvals, clinical holds or termination of clinical trials, Form 483s, warning or untitled letters, regulatory communications warning the public about safety issues with a product, import or export refusals, license revocation, seizures, detentions, or recalls of product candidates or product, operating restrictions, criminal prosecutions or debarment, suits under the civil False Claims Act, corporate integrity agreements, or consent decrees any of which could significantly and adversely affect supplies of our product candidates and our business, financial conditions and results of operations could be materially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current dependence upon others for the manufacture of our product candidates may also adversely affect our business, results of operations, financial condition, and our ability to commercialize any product candidates that receive regulatory approval on a timely and competitive basis.</w:t>
      </w:r>
    </w:p>
    <w:p>
      <w:pPr>
        <w:pStyle w:val="TextBody"/>
        <w:bidi w:val="0"/>
        <w:jc w:val="left"/>
        <w:rPr>
          <w:rFonts w:ascii="Times New Roman" w:hAnsi="Times New Roman"/>
          <w:sz w:val="20"/>
        </w:rPr>
      </w:pPr>
      <w:r>
        <w:rPr>
          <w:rFonts w:ascii="Times New Roman" w:hAnsi="Times New Roman"/>
          <w:b/>
          <w:i/>
          <w:color w:val="000000"/>
          <w:sz w:val="20"/>
        </w:rPr>
        <w:t>If we or any contract manufacturers and suppliers that we engage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Under certain environmental laws, we could be held responsible for costs relating to any contamination at our current or past facilities and at third-party facilities. We also could incur significant costs associated with civil or criminal fines and penalties.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Compliance with applicable environmental laws and regulations may be expensive, and current or future environmental laws and regulations may impair our product development and research efforts. In addition, we cannot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incur substantial costs to comply with current or future environmental, health and safety laws, regulations and permitting requirements. These current or future laws, regulations and permitting requirements may impair our research, development or production efforts. Failure to comply with these laws, regulations and permitting requirements also may result in substantial fines, penalties or other sanctions or business disruption, which could have a material adverse effect on our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third-party contract manufacturers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Regulatory Review</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If clinical trials of any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such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Before obtaining marketing approval from regulatory authorities for the sale of our product candidates, we must complete extensive clinical trials to demonstrate the safety and efficacy in humans.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preclinical and clinical data are often susceptible to varying interpretations and analyses. Many companies that have believed their product candidates performed satisfactorily in preclinical studies and clinical trials have nonetheless failed to obtain marketing approval of their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and our collaborators, if any, may experience numerous unforeseen events during, or as a result of, clinical trials that could delay or prevent our ability to receive marketing approval or commercialize any product candidates,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reaching a consensus with regulators on clinical development plans, trial designs or regulatory approval data packages;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IRBs, independent ethics committees or scientific review boards may not authorize us or our investigators to commence a clinical trial or conduct a clinical trial at a prospective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or failing to reach agreement on acceptable clinical trial contracts or clinical trial protocols with prospective CROs, and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of product candidates may produce negative or inconclusive results, and we may decide, or regulators may require us, to conduct additional clinical trials or abandon product development or research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in designing well-controlled clinical trials due to ethical considerations which may render it inappropriate to conduct a trial with a control arm that can be effectively compared to a treatment arm;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in designing clinical trials and selecting endpoints for diseases that have not been well-studied and for which the natural history and course of the disease is poorly understood;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patients required for clinical trials may be larger than we anticipate; enrollment of suitable participants in these clinical trials, which may be particularly challenging for some of the rare diseases we are targeting in our most advanced programs, may be delayed or slower than we anticipate; or patients may drop out of these clinical trials at a higher rate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third-party contractors may fail to comply with regulatory requirements or meet their contractual obligations to us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IRBs or independent ethics committees may require that we or our investigators suspend or terminate clinical research or clinical trials for various reasons, including noncompliance with regulatory requirements, a finding of undesirable side effects or other unexpected characteristics, or that the participants are being exposed to unacceptable health risks or after an inspection of our clinical trial operations or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clinical trials may be greater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supply or quality of product candidates or other materials necessary to conduct clinical trials may be insufficient or inadequate, including as a result of delays in the testing, validation, manufacturing and delivery of product candidates to the clinical sites by us or by third parties with whom we have contracted to perform certain of those functions;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having patients complete participation in a trial or return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 sites dropping out of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selection of clinical endpoints that require prolonged periods of clinical observation or analysis of the resulting data;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occurrence of serious adverse events associated with product candidates that are viewed to outweigh their potential benefits;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occurrence of serious adverse events in trials of the same class of agents conducted by other sponsors;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regulatory requirements and guidance that require amending or submitting new clinical protocols;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 in the supply or availability of drug product;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standard of care treatment guidelines.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or our collaborators are required to conduct additional clinical trials or other testing of product candidates beyond those that we currently contemplate, if we or our collaborators are unable to successfully complete clinical trials or other testing of product candidates, or if the results of these trials or tests are not positive or are only modestly positive or if there are safety concerns, we or our collaborators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delayed in obtaining marketing approval for any such product candidates or not obtain marketing approval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approval for indications or patient populations that are not as broad as intended or desired;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approval with labeling that includes significant use or distribution restrictions or safety warnings, including boxed warnings;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subject to changes in the way the product is administered;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required to perform additional clinical trials to support approval or be subject to additional post-marketing testing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regulatory authorities withdraw or suspend their approval of the product or impose restrictions on its distribution in the form of a REMS or through modification to an existing REMS;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sued;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damage to our reputation.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development costs will also increase if we or our collaborators experience delays in clinical trials or other testing or in obtaining marketing approvals. We do not know whether any clinical trials will begin as planned, will need to be restructured or will be completed on schedule, or at all. Significant clinical trial delays also could shorten any periods during which we may have the exclusive right to commercialize product candidates, could allow our competitors to bring products to market before we do and could impair our ability to successfully commercialize product candidates, any of which may harm our business, financial condition, results of operations and prospects.</w:t>
      </w:r>
    </w:p>
    <w:p>
      <w:pPr>
        <w:pStyle w:val="TextBody"/>
        <w:bidi w:val="0"/>
        <w:jc w:val="left"/>
        <w:rPr>
          <w:rFonts w:ascii="Times New Roman" w:hAnsi="Times New Roman"/>
          <w:sz w:val="20"/>
        </w:rPr>
      </w:pPr>
      <w:r>
        <w:rPr>
          <w:rFonts w:ascii="Times New Roman" w:hAnsi="Times New Roman"/>
          <w:b/>
          <w:i/>
          <w:color w:val="000000"/>
          <w:sz w:val="20"/>
        </w:rPr>
        <w:t>Even if we complete the necessary clinical trials, we cannot predict when, or if, we will obtain regulatory approval to commercialize telitacicept or any other product candidate we may develop in the United States or any other jurisdiction, and any such approval may be for a more narrow indication than we seek.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commercialize a product candidate until the appropriate regulatory authorities have reviewed and approved the product candidate. Even if our product candidates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Regulatory authorities also may approve a product candidate for more limited indications than requested or they may impose significant limitations in the form of narrow indications, warnings or a REMS. These regulatory authorities may require labeling that includes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materially adversely affect our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Marketing approval by the FDA in the United States, if obtained, does not ensure approval by regulatory authorities in other countries or jurisdictions.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product candidate testing and validation and additional administrative review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periods. Seeking foreign regulatory approval could result in difficulties and costs for us and require additional preclinical studies or clinical trials which could be costly and time-consuming. Regulatory requirements can vary widely from country to country and could delay or prevent the introduction of our product candidates in those countries. The foreign regulatory approval process involves all of the risks associated with FDA approval.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 candidates will be unrealized.</w:t>
      </w:r>
    </w:p>
    <w:p>
      <w:pPr>
        <w:pStyle w:val="TextBody"/>
        <w:bidi w:val="0"/>
        <w:jc w:val="left"/>
        <w:rPr>
          <w:rFonts w:ascii="Times New Roman" w:hAnsi="Times New Roman"/>
          <w:sz w:val="20"/>
        </w:rPr>
      </w:pPr>
      <w:r>
        <w:rPr>
          <w:rFonts w:ascii="Times New Roman" w:hAnsi="Times New Roman"/>
          <w:b/>
          <w:i/>
          <w:color w:val="000000"/>
          <w:sz w:val="20"/>
        </w:rPr>
        <w:t>If we experience significant delays or difficulties in the enrollment or retention of patients in clinical trials, the cost of developing product candidates could increase and our receipt of necessary regulatory approvals could be delayed or prevented.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Patient enrollment is a significant factor in the timing of clinical trials. The timing of our clinical trials depends, in part, on the speed at which we can recruit patients to participate in our trials. We or our collaborators may not be able to advance clinical trials for our product candidates if we are unable to locate and enroll a sufficient number of eligible patients to participate in these trials as required by the FDA, the EMA or other analogous regulatory authorities outside the United States, or as needed to provide appropriate statistical power for a given trial. Patients may be unwilling to participate in our clinical trials because of negative publicity from adverse events related to the biotechnology field, RemeGen’s telitacicept products or clinical trials, competitive clinical trials for similar patient populations, clinical trials in competing products or for other reasons. As a result, the timeline for recruiting patients, conducting trials and obtaining regulatory approval of product candidates could be delayed. In addition, if an unexpected number of patients drop out from a trial early, it would negatively impact the integrity of the trial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Patient enrollment and retention is also affected by other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severity of the disease under investigation;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size of the patient population and process for identifying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 of the trial protocol;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ability to obtain and maintain patient informed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 that enrolled patients will drop out before completion of the trial, including due to side effects or characteristics that are unrelated to our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eligibility and exclusion criteria for the trial in question;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perceived risks and benefits of the product candidate under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facilitate timely enrollment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referral practices of physicians;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ability to monitor patients adequately during and after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therapies that are or become approved and available to the same patient population;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standard of care treatment guidelines.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Significant enrollment delays or poor patient retention in our clinical trials may result in increased development costs for our product candidates, which would cause the value of our company to decline and limit our ability to obtain additional financing. If we or our collaborators have difficulty enrolling a sufficient number of patients to conduct our clinical trials as planned, or have difficulty retaining patients, we may need to delay, limit or terminate ongoing or planned clinical trials, any of which would have an adverse effect on our business, financial condition, results of operations and prospects. </w:t>
      </w:r>
    </w:p>
    <w:p>
      <w:pPr>
        <w:pStyle w:val="TextBody"/>
        <w:bidi w:val="0"/>
        <w:jc w:val="left"/>
        <w:rPr>
          <w:rFonts w:ascii="Times New Roman" w:hAnsi="Times New Roman"/>
          <w:sz w:val="20"/>
        </w:rPr>
      </w:pPr>
      <w:r>
        <w:rPr>
          <w:rFonts w:ascii="Times New Roman" w:hAnsi="Times New Roman"/>
          <w:b/>
          <w:color w:val="000000"/>
          <w:sz w:val="20"/>
        </w:rPr>
        <w:t>Risks Related to Our Relationships with Third Parties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We rely on third parties to conduct our clinical trials, and those third parties may not perform satisfactorily, including failing to meet deadlines for the completion of such trials, research or testing.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rely on third parties, such as CROs, clinical data management organizations, and clinical investigators, to conduct our clinical trials. Any of these third parties may terminate their engagements with us at any time under certain criteria. If we need to enter into alternative arrangements, it may delay our product development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reliance on these third parties for clinical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EMA and other regulatory authorities require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In the United States, we also are required to register ongoing clinical trials and post the results of completed clinical trials on a government-sponsored database, ClinicalTrials.gov, within certain timeframes. Failure to do so can result in fines, adverse publicity and civil and criminal sanctions.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intend to design the future clinical trials for our product candidates, CROs will conduct some or all of the clinical trials. As a result, many important aspects of our development programs, including their conduct and timing, will be outside of our direct control. Our reliance on third parties to conduct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staffing difficulties;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 to comply with contractual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regulatory compliance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undergo changes in priorities or become financially distressed;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form relationships with other entities, some of which may be our competitors.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factors may materially adversely affect the willingness or ability of third parties to conduct our clinical trials and may subject us to unexpected cost increases that are beyond our control. If the CROs and other third parties do not perform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programs may be materially and irreversibly harmed. If we are unable to rely on preclinical and clinical data collected by our CROs and other third parties, we could be required to repeat, extend the duration of or increase the size of any preclinical studies or clinical trials we conduct and this could significantly delay commercialization and require greater expenditures.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pStyle w:val="TextBody"/>
        <w:bidi w:val="0"/>
        <w:jc w:val="left"/>
        <w:rPr>
          <w:rFonts w:ascii="Times New Roman" w:hAnsi="Times New Roman"/>
          <w:sz w:val="20"/>
        </w:rPr>
      </w:pPr>
      <w:r>
        <w:rPr>
          <w:rFonts w:ascii="Times New Roman" w:hAnsi="Times New Roman"/>
          <w:b/>
          <w:i/>
          <w:color w:val="000000"/>
          <w:sz w:val="20"/>
        </w:rPr>
        <w:t>We will continue to contract with third parties for the manufacture and supply of materials for development of our product candidates, advancement of our current and future clinical trials, and potential commercialization of our product candidates. This increases the risk that we will not have sufficient quantities and quality of such materials, for the development of our product candidates, or that such supply will not be available to us at an acceptable cost, which could delay, prevent or impair our development or commercialization efforts.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will rely on third-party manufacturers, including certain single source suppliers, for the manufacture and supply of materials for development of our product candidates and advancement of our current clinical trial, and expect to continue to do so for future clinical testing and for commercial supply of our product candidates for which we or any future collaborators obtain marketing approval. We do not have a long-term agreement with many of these third-party manufacturers or suppliers. We may be unable to establish any agreements with third-party manufacturers or suppliers or to do so on acceptable terms. Even if we are able to establish agreements with third-party manufacturers or suppliers, reliance on third-party manufacturers entails additional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breach of the manufacturing or supply agreement by the third party;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termination or nonrenewal of the agreement by the third party at a time that is costly or inconvenient for us;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the third party for regulatory compliance, quality assurance, safety and pharmacovigilance and related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Third-party manufacturers may not be able to comply with cGMP regulations or similar regulatory requirements outside the United States. Our failure, or the failure of our third-party manufacturers or suppliers, to comply with applicable regulations could result in sanctions being imposed on us, including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and harm our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may compete with other product candidates and products for access to manufacturing facilities and other supplies. There are a limited number of manufacturers that operate under cGMP regulations and that might be capable of manufacturing for us. Also, prior to the approval of our product candidates, we would need to identify a contract manufacturer that could produce our products at a commercial scale and that could successfully complete FDA pre-approval inspection and inspections by other health authorities. Agreements with such manufacturers or suppliers may not be available to us at the time we would need to have that capability and capacity.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performance failure on the part of our existing or future manufacturers or suppliers, or any decision by a manufacturer or supplier to remove its products from the market or restrict access to its products, could delay clinical development or marketing approval. Although we believe that there are several potential alternative manufacturers who could replace our contract manufacturers, we may incur added costs and delays in identifying and qualifying any such replacement.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current and anticipated future dependence upon others for the manufacture of our product candidates and the materials used in our clinical trials may adversely affect our future profit margins and our ability to commercialize any products that receive marketing approval on a timely and competitive basis. </w:t>
      </w:r>
    </w:p>
    <w:p>
      <w:pPr>
        <w:pStyle w:val="TextBody"/>
        <w:bidi w:val="0"/>
        <w:jc w:val="left"/>
        <w:rPr>
          <w:rFonts w:ascii="Times New Roman" w:hAnsi="Times New Roman"/>
          <w:sz w:val="20"/>
        </w:rPr>
      </w:pPr>
      <w:r>
        <w:rPr>
          <w:rFonts w:ascii="Times New Roman" w:hAnsi="Times New Roman"/>
          <w:b/>
          <w:i/>
          <w:color w:val="000000"/>
          <w:sz w:val="20"/>
        </w:rPr>
        <w:t>We have and may enter into collaborations with third parties for the research, development and commercialization of our product candidates. If any such collaborations are not successful, we may not be able to capitalize on the market potential of those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and may seek third-party collaborators for the research, development and commercialization of certain our product candidates. If we enter into any such arrangements with any third parties in the future, we will likely have limited control over the amount and timing of resources that our collaborators dedicate to the development or commercialization our product candidates. Our ability to generate revenues from these arrangements will depend on our collaborators’ abilities to successfully perform the functions assigned to them in these arrangements. We cannot predict the success of collaborations that we have entered into or may enter into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Collaborations involving our current or future product candidates or research programs pose numerous risks to us,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have significant discretion in determining the efforts and resources that they will apply to these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diverts resources or creates competing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with marketing and distribution rights to one or more products may not commit sufficient resources to the marketing and distribution of such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between the collaborators and us that result in the delay or termination of the research, development or commercialization of our products or product candidates or that result in costly litigation or arbitration that diverts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lose certain valuable rights under circumstances identified in our collaborations, including if we undergo a change of control.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may be terminated and, if terminated, may result in a need for additional capital to pursue further development or commercialization of the applicable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 agreements may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collaborations do not result in the successful development and commercialization of product candidates, or if one of our collaborators terminates its agreement with us, we may not receive any future research funding or milestone or royalty payments under the collaboration. If we do not receive the funding we expect under these agreements, our development of product candidates could be delayed, and we may need additional resources to develop product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regulatory approval and commercialization described in this “Risk Factors” section apply to the activities of our collaborators.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relationships, or those like them, may require us to incur non-recurring and other charges, increase our near- and long-term expenditures, issue securities that dilute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among other things, upon our assessment of the collaborator’s resources and expertise, the terms and conditions of the proposed collaboration, and the proposed collaborator’s evaluation of several factors. If we license rights to our product candidates, we may not be able to realize the benefit of such transactions if we are unable to successfully integrate them with our existing operations and company culture.</w:t>
      </w:r>
    </w:p>
    <w:p>
      <w:pPr>
        <w:pStyle w:val="TextBody"/>
        <w:bidi w:val="0"/>
        <w:jc w:val="left"/>
        <w:rPr>
          <w:rFonts w:ascii="Times New Roman" w:hAnsi="Times New Roman"/>
          <w:sz w:val="20"/>
        </w:rPr>
      </w:pPr>
      <w:r>
        <w:rPr>
          <w:rFonts w:ascii="Times New Roman" w:hAnsi="Times New Roman"/>
          <w:b/>
          <w:i/>
          <w:color w:val="000000"/>
          <w:sz w:val="20"/>
        </w:rPr>
        <w:t>If we are not able to establish collaborations on commercially reasonable terms, we may have to alter our development and commercialization plans.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development and research programs and the potential commercialization of our product candidates will require substantial additional cash to fund expenses. For some of the product candidates, we may decide to collaborate with other pharmaceutical and biotechnology companies for the development and potential commercialization of those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would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the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also be restricted under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not be able to negotiate collaborations on a timely basis, on acceptable terms, or at all. If we are unable to do so, we may have to curtail the development of the product candidate for which we are seeking to collaborate, reduce or delay its development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develop product candidates or bring them to market and generate product revenue. </w:t>
      </w:r>
    </w:p>
    <w:p>
      <w:pPr>
        <w:pStyle w:val="TextBody"/>
        <w:bidi w:val="0"/>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We are highly dependent on intellectual property licensed from third parties and termination of these licenses could result in the loss of significant rights, which would harm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June 2025, we entered into a license agreement with RemeGen granting us an exclusive (even as to RemeGen) license under RemeGen’s patents and know-how to exploit, develop and commercialize telitacicept in all territories other than Greater China, with the right to grant sublicenses, and a non-exclusive license to manufacture the telitacicept worldwide for use in the licensed territory.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dependent on the patents, know-how and proprietary technology licensed from RemeGen for the development and, if approved, commercialization of telitacicept. Any termination of this license, or a finding that such intellectual property lacks legal effect, could result in the loss of significant rights and could harm our ability to commercialize our product candidate.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RemeGen license agreement imposes certain obligations on us, and non-compliance with such obligations may result in termination of the license agreement or in legal and financial consequences. If RemeGen terminates the license agreement, we may not be able to develop, commercialize or sell our product candidate covered by the agreement. Such an occurrence could materially adversely affect the value of the product candidate being developed under the agreement or using rights granted under such agreement. Termination of our license agreement or reduction or elimination of our rights thereunder may result in our having to negotiate a new or reinstated agreement, which may not be available to us on equally favorable terms, or at all, which may mean we are unable to develop, commercialize or sell the affected product candidate or may cause us to lose our rights under the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our licensors may make decisions in prosecuting, maintaining, enforcing and defending any licensed intellectual property rights, for example, any licensed patents or patent applications, that may not be in our best interest. Moreover, if our licensors take any action with respect to any licensed intellectual property rights, for example, any licensed patents or patent applications, that results in a successful challenge to the licensed intellectual property by a third party, such patents may be invalidated or held to be unenforceable, and we may lose our rights under such patents, which could materially harm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license agreements under which we license intellectual property from third parties are complex, and certain provisions in such agreements may be susceptible to multiple interpretations. Accordingly, disputes may arise between us and our licensors regarding intellectual property subject to a license agreement, including those relating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rights, if any, granted under the license agreement and other interpretation-related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and the extent to which our technology and processes infringe on intellectual property of the licensor that is not subject to the license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our licensor or its licensor had the right to grant the license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third parties are entitled to compensation or equitable relief, such as an injunction, for our use of the intellectual property without their authorization;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right to sublicense patent and other rights to third parties under collaborative development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we are complying with our obligations with respect to the use of the licensed technology in relation to our development and commercialization of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involvement in the prosecution and enforcement of the licensed patents and our licensors’ overall patent prosecution and enforcement strategy;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allocation of ownership of inventions and know-how resulting from the joint creation or use of intellectual property by our licensors and by us and any future partners or collaborators;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amounts of royalties, milestones or other payments due under the license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disputes over intellectual property that we have licensed prevent or impair our ability to maintain our current licensing arrangements on acceptable terms, or are insufficient to provide us the necessary rights to use the intellectual property, we may be unable to successfully develop and commercialize the affected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or any of our licensors fail to adequately protect this intellectual property, our ability to commercialize our products could suffer. Any disputes with our licensors or any termination of the licenses on which we depend could have a material adverse effect on our business, financial condition, results of operations and prospects.</w:t>
      </w:r>
    </w:p>
    <w:p>
      <w:pPr>
        <w:pStyle w:val="TextBody"/>
        <w:bidi w:val="0"/>
        <w:jc w:val="left"/>
        <w:rPr>
          <w:rFonts w:ascii="Times New Roman" w:hAnsi="Times New Roman"/>
          <w:sz w:val="20"/>
        </w:rPr>
      </w:pPr>
      <w:r>
        <w:rPr>
          <w:rFonts w:ascii="Times New Roman" w:hAnsi="Times New Roman"/>
          <w:b/>
          <w:i/>
          <w:color w:val="000000"/>
          <w:sz w:val="20"/>
        </w:rPr>
        <w:t>Our commercial success depends on our ability to obtain, maintain and protect our intellectual property and proprietary technology.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commercial success depends in large part on our ability to obtain, maintain and protect intellectual property rights through patents, trademarks and trade secrets in the United States and other countries with respect to our proprietary product candidates. If we do not adequately protect our intellectual property rights, competitors may be able to erode, negate or preempt any competitive advantage we may have, which could harm our business and ability to achieve profitability.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protect our proprietary position, we own and have in-licensed certain intellectual property rights, including certain issued patents and patent applications, and have filed and may file provisional and non-provisional patent applications in the United States or abroad related to our product candidates that are important to our business. Provisional patent applications are not eligible to become issued patents until, among other things, we file a non-provisional patent application within 12 months of the filing of one or more of our related provisional patent applications. If we do not timely file non-provisional patent applications, we may lose our priority date with respect to our provisional patent applications and any patent protection on the inventions disclosed in our provisional patent applications. While we intend to timely file non-provisional patent applications relating to our provisional patent applications, we cannot predict whether any such patent applications will result in the issuance of patents that provide us with any competitive advantage. Moreover, the patent application and approval process is expensive and time-consuming. We may not be able to file and prosecute all necessary or desirable patent applications at a reasonable cost or in a timely manner.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application, prosecution and enforcement processes are subject to numerous risks and uncertainties, and there can be no assurance that we, our licensors, or any of our current or future collaborators will be successful in protecting our product candidates by obtaining, defending and/or asserting patent rights. These risks and uncertainties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Patent and Trademark Office (the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 applications may not result in any patents being issued;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that may be issued or in-licensed may be challenged, invalidated, modified, revoked, circumvented, found to be unenforceable or otherwise may not provide any competitive advantage;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many of whom have substantially greater resources and many of whom have made significant investments in competing technologies, may seek or may have already obtained patents that will limit, interfere with or eliminate our ability to make, use, and sell our potential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countries other than the United States may have patent laws less favorable to patentees than those upheld by U.S. courts, allowing foreign competitors a better opportunity to create, develop and market competing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some instances, agreements through which we license intellectual property rights may not give us control over patent prosecution or maintenance, so that we may not be able to control which claims or arguments are presented, how claims are amended, and may not be able to secure, maintain, or successfully enforce necessary or desirable patent protection from those patent rights. While we have the first right to prosecute patents and patent applications we license under our license agreement with RemeGen in the licensed territory, RemeGen retains the right to prosecute these patents and patent applications in the remaining territory, and therefore we cannot guarantee that these patents and applications will be prosecuted or maintained in a manner consistent with the best interests of our business. We cannot be certain that patent prosecution and maintenance activities by our licensors have been or will be conducted in compliance with applicable laws and regulations or will result in valid and enforceable patents.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some of our in-licensed patents and patent applications may be, and some of our future owned and licensed patents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w:t>
      </w:r>
    </w:p>
    <w:p>
      <w:pPr>
        <w:pStyle w:val="TextBody"/>
        <w:bidi w:val="0"/>
        <w:jc w:val="left"/>
        <w:rPr>
          <w:rFonts w:ascii="Times New Roman" w:hAnsi="Times New Roman"/>
          <w:sz w:val="20"/>
        </w:rPr>
      </w:pPr>
      <w:r>
        <w:rPr>
          <w:rFonts w:ascii="Times New Roman" w:hAnsi="Times New Roman"/>
          <w:b/>
          <w:i/>
          <w:color w:val="000000"/>
          <w:sz w:val="20"/>
        </w:rPr>
        <w:t>The patent protection we obtain for our product candidates may not be sufficient to provide us with any competitive advantage or our patents may be challenged.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owned and licensed patents and pending patent applications, if issued, may not provide us with any meaningful protection or may not prevent competitors from designing around our patent claims to circumvent our patents by developing similar or alternative technologies or therapeutics in a non-infringing manner. For example, a third party may develop a competitive product that provides benefits similar to one or more of our product candidates but falls outside the scope of our patent protection or license rights. If the patent protection provided by the patents and patent applications we hold or pursue with respect to our product candidates is not sufficiently broad to impede such competition, our ability to successfully commercialize our product candidates could be negatively affected, which would harm our business. Currently, a significant portion of our patents and patent applications are in-licensed, though similar risks would apply to any patents or patent applications that we now own or may own or in-license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It is possible that defects of form in the preparation or filing of our patents or patent applications may exist, or may arise in the future, for example with respect to proper priority claims, inventorship, claim scope, or requests for patent term adjustments. If we or our partners, collaborators, licensees, or licensors, whether current or future, fail to establish, maintain or protect such patents and other intellectual property rights, such rights may be reduced or eliminated. If our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determination of patent rights with respect to clinical compositions of matter and treatment methods commonly involves complex legal and factual questions, which are dependent upon the current legal and intellectual property context, extant legal precedent and interpretations of the law by individuals. As a result, the issuance, scope, validity, enforceability and commercial value of our patent rights are characterized by uncertainty.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patent laws in various jurisdictions, including significant commercial markets such as Europe, restrict the patentability of methods of treatment of the human body more than U.S. law does. If these changes were to occur, they could have a material adverse effect on our ability to generate revenue.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Pending patent applications cannot be enforced against third parties practicing the technology claimed in such applications unless and until a patent issues from such applications. Assuming the other requirements for patentability are met, currently, the first party to file a patent application is generally entitled to the patent. However, prior to March 16, 2013, in the United States the first party to invent was entitled to the patent. Publications of discoveries in the scientific literature often lag behind the actual discoveries, and patent applications in the United States and other jurisdictions are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prior patent applications on inventions claimed in our patents or applications that were filed on or before March 15, 2013, an interference proceeding in the United States can be initiated by such third parties to determine who was the first to invent any of the subject matter covered by the patent claims of our applications. If third parties have filed such prior applications after March 15, 2013, a derivation proceeding in the United States can be initiated by such third parties to determine whether our invention was derived from theirs.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Moreover, because the issuance of a patent is not conclusive as to its inventorship, scope, validity or enforceability, our owned and licensed patents or pending patent applications may be challenged in the courts or patent offices in the United States and abroad.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submission of prior art to the USPTO, or to other patent offices around the world. Alternately or additionally, we may become involved in post-grant review procedures, oppositions, derivation proceedings, </w:t>
      </w:r>
      <w:r>
        <w:rPr>
          <w:rFonts w:ascii="Times New Roman" w:hAnsi="Times New Roman"/>
          <w:i/>
          <w:color w:val="000000"/>
          <w:sz w:val="20"/>
        </w:rPr>
        <w:t>ex</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parte</w:t>
      </w:r>
      <w:r>
        <w:rPr>
          <w:rFonts w:ascii="Times New Roman" w:hAnsi="Times New Roman"/>
          <w:color w:val="000000"/>
          <w:sz w:val="20"/>
        </w:rPr>
        <w:t xml:space="preserve"> reexaminations, </w:t>
      </w:r>
      <w:r>
        <w:rPr>
          <w:rFonts w:ascii="Times New Roman" w:hAnsi="Times New Roman"/>
          <w:i/>
          <w:color w:val="000000"/>
          <w:sz w:val="20"/>
        </w:rPr>
        <w:t>inter partes</w:t>
      </w:r>
      <w:r>
        <w:rPr>
          <w:rFonts w:ascii="Times New Roman" w:hAnsi="Times New Roman"/>
          <w:color w:val="000000"/>
          <w:sz w:val="20"/>
        </w:rPr>
        <w:t xml:space="preserve"> review, supplemental examinations, or interference proceedings or challenges in district court, in the United States or in various foreign patent offices, including both national and regional, challenging patents or patent applications in which we have rights, including patents on which we rely to protect our business. An adverse determination in any such challenges may result in loss of the patent or in patent claims being narrowed, invalidated or held unenforceable, in whole or in part, or in denial of the patent application or loss or reduction in the scope of one or more claims of the patent application, any of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Issued patents that we have or may obtain or license may not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Our competitors may also seek approval to market their own products similar to or otherwise competitive with our products. Alternatively, our competitors may seek to market generic versions of any approved products, for example, by submitting a Section 351(k) Biologics License Application (”BLA”) to the FDA, or pursue similar strategies in the United States or other jurisdictions, in which they claim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 Any of the foregoing could have a material adverse effect on our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parties have developed or may develop technologies that may be related to or competitive with our approach, and may have filed or may file patent applications and may have been issued or may be issued patents with claims that overlap or conflict with our patent applications, either by claiming the same materials, formulations or methods, or by claiming subject matter that could dominate our patent position. In addition, certain parts or all of the patent portfolios licensed to us are, or may be, licensed to third parties and such third parties may have or may obtain certain enforcement rights. If the scope of the patent protection we or our licensors obtain is not sufficiently broad, we may not be able to prevent others from developing and commercializing technology and products similar or identical to ours.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licensed patents have, or that any of our pending owned or licensed patent applications that mature into issued patents will include, claims with a scope sufficient to protect our product candidates or otherwise provide any competitive advantage, nor can we provide any assurance that our licenses will remain in force. </w:t>
      </w:r>
    </w:p>
    <w:p>
      <w:pPr>
        <w:pStyle w:val="TextBody"/>
        <w:bidi w:val="0"/>
        <w:jc w:val="left"/>
        <w:rPr>
          <w:rFonts w:ascii="Times New Roman" w:hAnsi="Times New Roman"/>
          <w:sz w:val="20"/>
        </w:rPr>
      </w:pPr>
      <w:r>
        <w:rPr>
          <w:rFonts w:ascii="Times New Roman" w:hAnsi="Times New Roman"/>
          <w:b/>
          <w:i/>
          <w:color w:val="000000"/>
          <w:sz w:val="20"/>
        </w:rPr>
        <w:t>If we are unable to protect the confidentiality of our trade secrets, our business and competitive position may be harmed.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the protection afforded by patents, we rely upon trade secret protection, know-how and continuing technological innovation to develop and maintain our competitive position. We seek to protect our proprietary technology and processes, in part, by entering into confidentiality agreements with our contractors, collaborators, scientific advisors, employees and consultants and invention assignment agreements with our consultants and employees. However, we may not obtain these agreements in all circumstances, and individuals with whom we have these agreements may not comply with their terms. The assignment of intellectual property rights under these agreements may not be self-executing or the assignment agreements may be breached, and we may be forced to bring claims against third parties, or defend claims that they may bring against us, to determine the ownership of what we regard as our intellectual property. In addition, we may not be able to prevent the unauthorized disclosure or use of our technical know-how or other trade secrets by the parties to these agreements despite the existence of confidentiality agreements and other contractual restrictions. Monitoring unauthorized uses and disclosures is difficult and we do not know whether the steps we have taken to protect our proprietary technologies will be effective. If any of the contractors, collaborators, scientific advisors, employees and consultants who are parties to these agreements breaches or violates the terms of any of these agreements, we may not have adequate remedies for any such breach or violation. As a result, we could lose our trade secrets. Enforcing a claim against a third party that illegally obtained and is using our trade secrets, like patent litigation, is expensive and time-consuming and the outcome is unpredictable. In addition, courts outside the United States are sometimes less willing or unwilling to protect trade secrets. Any of the foregoing could have a material adverse effect on our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our trade secrets could otherwise become known or be independently discovered by our competitors or other third parties. Competitors and other third parties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or other third party, we would have no right to prevent them, or those to whom they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communicate it, from using that technology or information to compete with us. If our trade secrets are not adequately protected or sufficient to provide an advantage over our competitors, our competitive position could be adversely affected, as could our business. Additionally, if the steps taken to maintain our trade secrets are deemed inadequate, we may have insufficient recourse against third parties for misappropriating our trade secrets. </w:t>
      </w:r>
    </w:p>
    <w:p>
      <w:pPr>
        <w:pStyle w:val="TextBody"/>
        <w:bidi w:val="0"/>
        <w:jc w:val="left"/>
        <w:rPr>
          <w:rFonts w:ascii="Times New Roman" w:hAnsi="Times New Roman"/>
          <w:sz w:val="20"/>
        </w:rPr>
      </w:pPr>
      <w:r>
        <w:rPr>
          <w:rFonts w:ascii="Times New Roman" w:hAnsi="Times New Roman"/>
          <w:b/>
          <w:i/>
          <w:color w:val="000000"/>
          <w:sz w:val="20"/>
        </w:rPr>
        <w:t>We may not be successful in acquiring or in-licensing necessary rights to key technologies underlying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have rights to intellectual property, through licenses from third parties, to develop our product candidates, and we expect to seek to expand our intellectual property footprint related to our product candidate pipeline in part by in-licensing the rights to key technologies. The future growth of our business will depend in part on our ability to in-license or otherwise acquire the rights to develop additional product candidates and technologies. Although we have succeeded in licensing technologies from third party licensors, including RemeGen, in the past, we can give no assurance that we will be able to in-license or acquire the rights to other technologies relevant to our product candidates from third parties on acceptable terms or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to market our product candidates, we may find it necessary or prudent to obtain licenses from such third party intellectual property holders. However, it may be unclear who owns the rights to intellectual property we wish to obtain, or we may be unable to secure such licenses or otherwise acquire or in-license intellectual property rights from third parties that we identify as necessary for our product candidates and technology we employ. We currently conduct our clinical trials under 35 U.S.C. § 271(e)(1), which provides a safe harbor from patent infringement for uses of patented technology reasonably related to the development and submission of information under a federal law which regulates the manufacture, use, or sale of drugs.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licensing or acquisition of third party intellectual property rights is a highly competitive area, and other companies may pursue strategies to license or acquire third party intellectual property rights that we may consider attractive or necessary. Such companies may have a competitive advantage over us, e.g.,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were able to obtain such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product candidates or such commercialization efforts may be significantly delayed, which could in turn significantly harm our business.</w:t>
      </w:r>
    </w:p>
    <w:p>
      <w:pPr>
        <w:pStyle w:val="TextBody"/>
        <w:bidi w:val="0"/>
        <w:jc w:val="left"/>
        <w:rPr>
          <w:rFonts w:ascii="Times New Roman" w:hAnsi="Times New Roman"/>
          <w:sz w:val="20"/>
        </w:rPr>
      </w:pPr>
      <w:r>
        <w:rPr>
          <w:rFonts w:ascii="Times New Roman" w:hAnsi="Times New Roman"/>
          <w:b/>
          <w:i/>
          <w:color w:val="000000"/>
          <w:sz w:val="20"/>
        </w:rPr>
        <w:t>Third-party claims of intellectual property infringement, misappropriation or other violations may prevent or delay our product discovery and development efforts and have a material adverse effect on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commercial success depends in part on our avoiding infringement, misappropriation and other violations of the patents and proprietary rights of third parties. There is a substantial amount of litigation involving patents and other intellectual property rights in the biotechnology and pharmaceutical industries, as well as administrative proceedings for challenging patents, including interference and reexamination proceedings before the USPTO or oppositions and other comparable proceedings in foreign jurisdictions. Recently, under U.S. patent reform, new procedures including </w:t>
      </w:r>
      <w:r>
        <w:rPr>
          <w:rFonts w:ascii="Times New Roman" w:hAnsi="Times New Roman"/>
          <w:i/>
          <w:color w:val="000000"/>
          <w:sz w:val="20"/>
        </w:rPr>
        <w:t xml:space="preserve">inter partes </w:t>
      </w:r>
      <w:r>
        <w:rPr>
          <w:rFonts w:ascii="Times New Roman" w:hAnsi="Times New Roman"/>
          <w:color w:val="000000"/>
          <w:sz w:val="20"/>
        </w:rPr>
        <w:t xml:space="preserve">review and post grant review have been implemented. This reform will bring uncertainty to the possibility of challenge to our patents in the future. Numerous U.S. and foreign issued patents and pending patent applications, which are owned by third parties, exist in the fields in which we are developing our product candidates, and third parties may allege they have patent rights encompassing our product candidates, technologies or methods. Third parties may assert that we are employing their proprietary technology without authorization and may file patent infringement claims or lawsuits against us, and if we are found to infringe such third-party patents, we may be required to pay damages, cease commercialization of the infringing technology or obtain a license from such third parties, which may not be available on commercially reasonable terms or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may also be third-party patents of which we are currently unaware with patent rights to materials, formulations, methods of manufacture or methods of treatment related to the use or manufacture of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Further, we or our licensors may fail to identify even those relevant third-party patents that have issued or may incorrectly interpret the relevance, scope or expiration of such patents. The scope of a patent claim is determined by an interpretation of the law, the written disclosure in a patent and the patent’s prosecution history. Our interpretation of the relevance or scope of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patent or a pending application may be incorrect. If any third-party patents were held by a court of competent jurisdiction to cover the manufacturing process of our product candidates, materials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materials, formulations or methods, including without limitation,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involve a substantial diversion of employee resources from our business. We may not have sufficient resources to bring these actions to a successful conclusion, which may result in significant cost and may impede our inability to pursue any affected products or product candidates. There could also be public announcements of the results of hearings, motions or other interim proceedings or developments. If securities analysts or investors perceive these results to be negative, it could have a material adverse effect on the price of shares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pStyle w:val="TextBody"/>
        <w:bidi w:val="0"/>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earlier than would otherwise have been the case, which would have a material adverse effect on our business. </w:t>
      </w:r>
    </w:p>
    <w:p>
      <w:pPr>
        <w:pStyle w:val="TextBody"/>
        <w:bidi w:val="0"/>
        <w:jc w:val="left"/>
        <w:rPr>
          <w:rFonts w:ascii="Times New Roman" w:hAnsi="Times New Roman"/>
          <w:sz w:val="20"/>
        </w:rPr>
      </w:pPr>
      <w:r>
        <w:rPr>
          <w:rFonts w:ascii="Times New Roman" w:hAnsi="Times New Roman"/>
          <w:b/>
          <w:i/>
          <w:color w:val="000000"/>
          <w:sz w:val="20"/>
        </w:rPr>
        <w:t>Some intellectual property that we have in-licensed may have been discovered through government funded programs and thus may be subject to federal regulations such as “march-in” rights, certain reporting requirements and a preference for U.S.-based companies. Compliance with such regulations may limit our exclusive rights and limit our ability to contract with non-U.S. manufacturers.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of the intellectual property rights that we have licensed or we may license in the future and that have been generated through the use of U.S. government funding are subject to certain federal regulations. As a result, the U.S. government may have certain rights to intellectual property embodied in our current or future product candidates pursuant to the Bayh-Dole Act of 1980 (the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such intellectual property rights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such intellectual property rights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We cannot be certain that our current or future licensors will comply with the disclosure or reporting requirements of the Bayh-Dole Act at all times, or be able to rectify any lapse in compliance with these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 </w:t>
      </w:r>
    </w:p>
    <w:p>
      <w:pPr>
        <w:pStyle w:val="TextBody"/>
        <w:bidi w:val="0"/>
        <w:jc w:val="left"/>
        <w:rPr>
          <w:rFonts w:ascii="Times New Roman" w:hAnsi="Times New Roman"/>
          <w:sz w:val="20"/>
        </w:rPr>
      </w:pPr>
      <w:r>
        <w:rPr>
          <w:rFonts w:ascii="Times New Roman" w:hAnsi="Times New Roman"/>
          <w:b/>
          <w:i/>
          <w:color w:val="000000"/>
          <w:sz w:val="20"/>
        </w:rPr>
        <w:t>We may become involved in lawsuits to protect or enforce our patents or other intellectual property, which could be expensive, time-consuming and unsuccessful.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Competitors may infringe our patents, trademarks, copyrights or other intellectual property. To counter infringement or unauthorized use, we may be required to file infringement claims, which can be expensive and time-consuming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 material adverse effect on the price of shares of our common stock.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 Any of the foregoing may have a material adverse effect on our business, financial condition, results of operations and prospects.</w:t>
      </w:r>
    </w:p>
    <w:p>
      <w:pPr>
        <w:pStyle w:val="TextBody"/>
        <w:bidi w:val="0"/>
        <w:jc w:val="left"/>
        <w:rPr>
          <w:rFonts w:ascii="Times New Roman" w:hAnsi="Times New Roman"/>
          <w:sz w:val="20"/>
        </w:rPr>
      </w:pPr>
      <w:r>
        <w:rPr>
          <w:rFonts w:ascii="Times New Roman" w:hAnsi="Times New Roman"/>
          <w:b/>
          <w:i/>
          <w:color w:val="000000"/>
          <w:sz w:val="20"/>
        </w:rPr>
        <w:t>Changes to patent law in the United States and other jurisdictions could diminish the value of patents in general, thereby impairing our ability to protect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Congress, the federal courts, and the USPTO, the laws and regulations governing patents could change in unpredictable ways that would weaken our ability to obtain new patents or to enforce our existing patents and patents that we might obtain in the future. For example, in the case, </w:t>
      </w:r>
      <w:r>
        <w:rPr>
          <w:rFonts w:ascii="Times New Roman" w:hAnsi="Times New Roman"/>
          <w:i/>
          <w:color w:val="000000"/>
          <w:sz w:val="20"/>
        </w:rPr>
        <w:t>Assoc. for Molecular Pathology v. Myriad Genetics, Inc.,</w:t>
      </w:r>
      <w:r>
        <w:rPr>
          <w:rFonts w:ascii="Times New Roman" w:hAnsi="Times New Roman"/>
          <w:color w:val="000000"/>
          <w:sz w:val="20"/>
        </w:rPr>
        <w:t xml:space="preserve"> the Supreme Court held that certain claims to DNA molecules are not patentable. In addition, the case </w:t>
      </w:r>
      <w:r>
        <w:rPr>
          <w:rFonts w:ascii="Times New Roman" w:hAnsi="Times New Roman"/>
          <w:i/>
          <w:color w:val="000000"/>
          <w:sz w:val="20"/>
        </w:rPr>
        <w:t>Amgen Inc. v. Sanofi</w:t>
      </w:r>
      <w:r>
        <w:rPr>
          <w:rFonts w:ascii="Times New Roman" w:hAnsi="Times New Roman"/>
          <w:color w:val="000000"/>
          <w:sz w:val="20"/>
        </w:rPr>
        <w:t xml:space="preserve"> affects the way antibody claims are examined and litigated. While we do not believe that any of the patents owned or licensed by us will be found invalid based on these decisions, we cannot predict how future decisions by the courts, the Congress or the USPTO may impact the value of our patents. </w:t>
      </w:r>
    </w:p>
    <w:p>
      <w:pPr>
        <w:pStyle w:val="TextBody"/>
        <w:bidi w:val="0"/>
        <w:jc w:val="left"/>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Filing, prosecuting, maintaining, defending and enforcing patents on our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drugs and may export otherwise infringing drugs to territories where we have patent protection,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but enforcement rights are not as strong as those in the United States. These drugs may compete with our product candidates and our patents or other intellectual property rights may not be effective or sufficient to prevent them from competing.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some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countries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 </w:t>
      </w:r>
    </w:p>
    <w:p>
      <w:pPr>
        <w:pStyle w:val="TextBody"/>
        <w:bidi w:val="0"/>
        <w:jc w:val="left"/>
        <w:rPr>
          <w:rFonts w:ascii="Times New Roman" w:hAnsi="Times New Roman"/>
          <w:sz w:val="20"/>
        </w:rPr>
      </w:pPr>
      <w:r>
        <w:rPr>
          <w:rFonts w:ascii="Times New Roman" w:hAnsi="Times New Roman"/>
          <w:b/>
          <w:i/>
          <w:color w:val="000000"/>
          <w:sz w:val="20"/>
        </w:rPr>
        <w:t>Patent terms may be inadequate to protect our competitive position on our product candidates for an adequate amount of time.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Patents have a limited lifespan. In the United States, if all maintenance fees are timely paid, the natural expiration of a patent is generally 20 years from its earliest filing date of a non-provisional application to which the patent claims priority. Various extensions may be available, but the life of a patent, and the protection it affords, is limited. Even if patents covering our product candidates are obtained, once the patent life has expired for a product candidate, we may be open to competition from competitive medications, including generic medications.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 candidates similar or identical to ours. </w:t>
      </w:r>
    </w:p>
    <w:p>
      <w:pPr>
        <w:pStyle w:val="TextBody"/>
        <w:bidi w:val="0"/>
        <w:jc w:val="left"/>
        <w:rPr>
          <w:rFonts w:ascii="Times New Roman" w:hAnsi="Times New Roman"/>
          <w:sz w:val="20"/>
        </w:rPr>
      </w:pPr>
      <w:r>
        <w:rPr>
          <w:rFonts w:ascii="Times New Roman" w:hAnsi="Times New Roman"/>
          <w:b/>
          <w:i/>
          <w:color w:val="000000"/>
          <w:sz w:val="20"/>
        </w:rPr>
        <w:t>If we do not obtain patent term extension and data exclusivity for patents related to any of our product candidates, our business may be materially harmed.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Depending upon the timing, duration and conditions of any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the case, and our competitive position, business, financial condition, results of operations, and prospects could be materially harmed. </w:t>
      </w:r>
    </w:p>
    <w:p>
      <w:pPr>
        <w:pStyle w:val="TextBody"/>
        <w:bidi w:val="0"/>
        <w:jc w:val="left"/>
        <w:rPr>
          <w:rFonts w:ascii="Times New Roman" w:hAnsi="Times New Roman"/>
          <w:sz w:val="20"/>
        </w:rPr>
      </w:pPr>
      <w:r>
        <w:rPr>
          <w:rFonts w:ascii="Times New Roman" w:hAnsi="Times New Roman"/>
          <w:b/>
          <w:i/>
          <w:color w:val="000000"/>
          <w:sz w:val="20"/>
        </w:rPr>
        <w:t>Third parties may assert that our employees or consultants have wrongfully used or disclosed confidential information or misappropriated trade secrets.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employ individuals who were previously employed at universities or other biopharmaceutical companies,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We may also be subject to claims that patents and applications that we may file to protect inventions of our employees or consultants are rightfully owned by their former employers or other third parties. Litigation may be necessary to defend against these claims. If we fail in defending any such claims, in addition to paying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monetary damages, we may lose valuable intellectual property rights or personnel. Even if we are successful in defending against such claims, litigation could result in substantial costs and be a distraction to management and other employees. Any of the foregoing would harm our business, financial condition, results of operations, and prospects. </w:t>
      </w:r>
    </w:p>
    <w:p>
      <w:pPr>
        <w:pStyle w:val="TextBody"/>
        <w:bidi w:val="0"/>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 </w:t>
      </w:r>
    </w:p>
    <w:p>
      <w:pPr>
        <w:pStyle w:val="TextBody"/>
        <w:bidi w:val="0"/>
        <w:jc w:val="left"/>
        <w:rPr>
          <w:rFonts w:ascii="Times New Roman" w:hAnsi="Times New Roman"/>
          <w:sz w:val="20"/>
        </w:rPr>
      </w:pPr>
      <w:r>
        <w:rPr>
          <w:rFonts w:ascii="Times New Roman" w:hAnsi="Times New Roman"/>
          <w:b/>
          <w:i/>
          <w:color w:val="000000"/>
          <w:sz w:val="20"/>
        </w:rPr>
        <w:t>Intellectual property rights do not necessarily address all potential threats.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may eventually become available in generic or biosimilar product forms;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products that are similar to our product candidates or utilize similar technology but that are not covered by the claims of the patents that we license or own;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current or future licensors might not have been the first to make the inventions covered by the issued patent or pending patent application that we license or own;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current or future licensors might not have been the first to file patent applications covering certain of our or their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license partners or current or future collaborators, may fail to meet our obligations to the U.S. government regarding any in-licensed patents and patent applications funded by U.S. government grants, leading to the loss or unenforceability of patent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without infringing our owned or licensed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pending, owned or licensed patent applications or those that we may own in the future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there are prior public disclosures that could invalidate our owned or in-licensed patents, or parts of our owned or in-licensed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there are unpublished applications or patent applications maintained in secrecy that may later issue with claims covering our product candidates or technology similar to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pending owned or licensed patent applications or those that we may own or license in the future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hold rights to may be held invalid or unenforceable, including as a result of legal challenges by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claims of our owned or in-licensed issued patents or patent applications, if and when issued, may not cover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laws of foreign countries may not protect our proprietary rights or the proprietary rights of license partners or current or future collaborators to the same extent as the laws of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inventors of our owned or in-licensed patents or patent applications may become involved with competitors, develop products or processes that design around our patents or become hostile to us or the patents or patent applications on which they are named as inventors;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engaged in scientific collaborations in the past and will continue to do so in the future and our collaborators may develop adjacent or competing products that are outside the scope of our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product candidates we develop may be covered by third parties’ patents or other exclusive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others may harm our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choose not to file a patent in order to maintain certain trade secrets or know-how, and a third party may subsequently file a patent covering such intellectual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Should any of these events occur, they could harm our business, financial condition, results of operations, and prospects. </w:t>
      </w:r>
    </w:p>
    <w:p>
      <w:pPr>
        <w:pStyle w:val="TextBody"/>
        <w:bidi w:val="0"/>
        <w:jc w:val="left"/>
        <w:rPr>
          <w:rFonts w:ascii="Times New Roman" w:hAnsi="Times New Roman"/>
          <w:sz w:val="20"/>
        </w:rPr>
      </w:pPr>
      <w:r>
        <w:rPr>
          <w:rFonts w:ascii="Times New Roman" w:hAnsi="Times New Roman"/>
          <w:b/>
          <w:color w:val="000000"/>
          <w:sz w:val="20"/>
        </w:rPr>
        <w:t>Risks Related to Regulatory and Other Legal Compliance Matters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Failure to obtain marketing approval in foreign jurisdictions would prevent product candidates from being marketed in such jurisdictions, which, in turn, would materially impair our ability to generate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to market and sell product candidates in the European Union and other foreign jurisdictions, we or our third-party collaborators must obtain separate marketing approvals (a single one for the European Union)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candidate be approved for reimbursement before the product candidate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jurisdiction, which would materially impair our ability to generate revenue. </w:t>
      </w:r>
    </w:p>
    <w:p>
      <w:pPr>
        <w:pStyle w:val="TextBody"/>
        <w:bidi w:val="0"/>
        <w:jc w:val="left"/>
        <w:rPr>
          <w:rFonts w:ascii="Times New Roman" w:hAnsi="Times New Roman"/>
          <w:sz w:val="20"/>
        </w:rPr>
      </w:pPr>
      <w:r>
        <w:rPr>
          <w:rFonts w:ascii="Times New Roman" w:hAnsi="Times New Roman"/>
          <w:b/>
          <w:i/>
          <w:color w:val="000000"/>
          <w:sz w:val="20"/>
        </w:rPr>
        <w:t>Even if we, or any collaborators we may have, obtain marketing approvals for our product candidates, the terms of approvals and ongoing regulation of our product candidates could require the substantial expenditure of resources and may limit how we, or they, manufacture and market our product candidates, which could materially impair our ability to generate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product candidate for which we obtain marketing approval, along with the manufacturing processes, post-approval clinical data, labeling, advertising and promotional activities for such product, will be subject to continual requirements of and review by the FDA, EMA, the Competent Authorities of the Member States of the European Union and other regulatory authorities. These requirements include submissions of safety and other post-marketing information and reports, facility registration and drug listing requirements, cGMP requirements relating to quality control, quality assurance and corresponding maintenance of records and documents, and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or contain requirements for costly post-marketing testing and surveillance to monitor the safety or efficacy of the product. The FDA and other regulatory authorities may restrict the use of our products to certain specialists and/or institutions and require formal reporting and approval of a REMS program. Such restrictions or requirements could deter use of our products by certain individuals or institutions.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Accordingly, assuming we, or any of our collaborators, receive marketing approval for one or more product candidates, we, such collaborators and our and their contract manufacturers will continue to expend time, money, and effort in all areas of regulatory compliance, including manufacturing, production, product surveillance and quality control. If we and such collaborators are not able to comply with post-approval regulatory requirements, we and such collaborators could have the marketing approvals for our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withdrawn by regulatory authorities and our, or such collaborators’,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 </w:t>
      </w:r>
    </w:p>
    <w:p>
      <w:pPr>
        <w:pStyle w:val="TextBody"/>
        <w:bidi w:val="0"/>
        <w:jc w:val="left"/>
        <w:rPr>
          <w:rFonts w:ascii="Times New Roman" w:hAnsi="Times New Roman"/>
          <w:sz w:val="20"/>
        </w:rPr>
      </w:pPr>
      <w:r>
        <w:rPr>
          <w:rFonts w:ascii="Times New Roman" w:hAnsi="Times New Roman"/>
          <w:b/>
          <w:i/>
          <w:color w:val="000000"/>
          <w:sz w:val="20"/>
        </w:rPr>
        <w:t>Even if we receive regulatory approval for any product candidate, we will be subject to ongoing obligations and continued regulatory review, which may result in significant additional expense. Additionally, our product candidates for which we obtain marketing approval could be subject to labeling and other restrictions or withdrawal from the market, and we may be subject to substantial penalties if we fail to comply with regulatory requirements or if we experience unanticipated problems with our products, when and if any of them are approved.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FDA or a comparable foreign regulatory authority approves any of our product candidates, the manufacturing processes, testing, safety, efficacy, labeling, packaging, distribution, import, export,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all of which may result in significant expense and limit our ability to commercialize such products. In addition,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the EMA, the Competent Authorities of the Member States of the European Union and other regulatory authorities closely regulate the post-approval marketing and promotion of products to ensure that they are marketed only for the approved indications and in accordance with the provisions of the approved labeling. The FDA, the Competent Authorities of the Member States of the European Union and other regulatory authorities impose stringent restrictions on manufacturers’ communications regarding off-label use, and if we market our products for off-label use, we may be subject to enforcement action for off-label marketing by the FDA and other federal and state enforcement agencies, including the Department of Justice. While physicians may prescribe products for off-label uses as the FDA and other U.S. regulatory agencies do not regulate a physician’s choice of drug treatment made in the physician’s independent medical judgment, they do restrict promotional communications from companies or their sales force with respect to off-label uses of products for which marketing clearance has not been issued. Companies may only share truthful and not misleading information that is otherwise consistent with a product’s FDA approved labeling. Violation of the Federal Food, Product, and Cosmetic Act and other statutes, including the False Claims Act and equivalent legislation in other countries relating to the promotion and advertising of prescription products may also lead to investigations or allegations of violations of federal and state and other countries’ health care fraud and abuse laws and state consumer protection laws. Even if it is later determined we were not in violation of these laws, we may be faced with negative publicity, incur significant expenses defending our actions and have to divert significant management resources from other matters.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later discovery of previously unknown problems with our products, manufacturers or manufacturing processes, or failure to comply with regulatory requirements, may yield various negative consequences,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such products, manufacturers or manufacturing processes;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labeling or marketing of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distribution or use of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to conduct post-marketing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of warning or untitled letters;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the products from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approve pending applications or supplements to approved applications that we submit;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recall of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restitution or disgorgement of profits or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future procurements with governmental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withdrawal of marketing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of any ongoing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permit the import or export of our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government investigation of alleged violations of law could require us to expend significant time and resources in response and could generate negative publicity. The occurrence of any event or penalty described above may inhibit our ability to commercialize any of our product candidates, if approved, and adversely affect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Moreover, the policies of the FDA and of comparable foreign regulatory authorities may change and additional government regulations may be enacted that could prevent, limit or delay regulatory approval of our product candidates. For example, the U.S. Supreme Court’s June 2024 decision in </w:t>
      </w:r>
      <w:r>
        <w:rPr>
          <w:rFonts w:ascii="Times New Roman" w:hAnsi="Times New Roman"/>
          <w:i/>
          <w:color w:val="000000"/>
          <w:sz w:val="20"/>
        </w:rPr>
        <w:t>Loper Bright Enterprises v. Raimondo</w:t>
      </w:r>
      <w:r>
        <w:rPr>
          <w:rFonts w:ascii="Times New Roman" w:hAnsi="Times New Roman"/>
          <w:color w:val="000000"/>
          <w:sz w:val="20"/>
        </w:rPr>
        <w:t xml:space="preserve"> overturned the longstanding Chevron doctrine, under which courts were required to give deference to regulatory agencies’ reasonable interpretations of ambiguous federal statutes. The Loper decision could result in additional legal challenges to regulations and decisions issued by federal agencies, including the FDA, on which we rely. Any such legal challenges, if successful, could have a material impact on our business. Additionally, the Loper 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bidi w:val="0"/>
        <w:jc w:val="left"/>
        <w:rPr>
          <w:rFonts w:ascii="Times New Roman" w:hAnsi="Times New Roman"/>
          <w:sz w:val="20"/>
        </w:rPr>
      </w:pPr>
      <w:r>
        <w:rPr>
          <w:rFonts w:ascii="Times New Roman" w:hAnsi="Times New Roman"/>
          <w:b/>
          <w:i/>
          <w:color w:val="000000"/>
          <w:sz w:val="20"/>
        </w:rPr>
        <w:t>Disruptions at the FDA and other government agencies caused by funding shortages, layoffs, shifting policy priorities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statutory, regulatory, and policy changes, layoffs, the FDA’s ability to hire and retain key personnel and accept the payment of user fees, and other events that may otherwise affect the FDA’s ability to perform routine functions. Average review times at the agency have fluctuated in recent years as a result. Disruptions at the FDA and other agencies may also slow the time necessary for new biologics or modifications to cleared or approved biologics to be reviewed and/or approved by necessary government agencies, which would adversely affect our business. Additionally, over the last several years, the U.S. government has shut down multiple times and certain regulatory agencies, such as the FDA and the SEC, have had to furlough critical FDA, SEC and other government employees and stop critical activities. If funding for the FDA is reduced, FDA priorities change, or a prolonged government shutdown occurs, it could significantly impact the ability of the FDA to timely review and process our regulatory submissions, which could have a material adverse effect on our business. </w:t>
      </w:r>
    </w:p>
    <w:p>
      <w:pPr>
        <w:pStyle w:val="TextBody"/>
        <w:bidi w:val="0"/>
        <w:jc w:val="left"/>
        <w:rPr>
          <w:rFonts w:ascii="Times New Roman" w:hAnsi="Times New Roman"/>
          <w:sz w:val="20"/>
        </w:rPr>
      </w:pPr>
      <w:r>
        <w:rPr>
          <w:rFonts w:ascii="Times New Roman" w:hAnsi="Times New Roman"/>
          <w:b/>
          <w:i/>
          <w:color w:val="000000"/>
          <w:sz w:val="20"/>
        </w:rPr>
        <w:t>Our relationships with healthcare providers, including physicians, and third-party payors will be subject to applicable anti-kickback, fraud and abuse, health data privacy, transparency, anti-bribery and other healthcare laws and regulations, which could expose us to criminal sanctions, civil penalties, contractual damages, reputational harm and diminished profits and future earnings.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Healthcare providers and third-party payors play a primary role in the recommendation and prescription of any product candidates for which we obtain marketing approval. Our current and future arrangements with healthcare providers, third-party payors and customers may expose us to broadly applicable federal and state fraud and abuse, transparency, health data privacy, and other healthcare laws and regulations that may constrain the business or financial arrangements and relationships through which we research as well as market, sell and distribute our products for which we obtain marketing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Efforts to ensure that our business arrangements with third parties will comply with applicable healthcare laws and regulations will involve substantial costs. Given the breadth of the laws and regulations and evolving government interpretations of the laws and regulations, governmental authorities may possibly conclude that our business practices, including certain of our advisory board arrangements with physicians, some of whom are compensated in the form of stock or stock options, may not comply with healthcare laws and regulations. If our operations are found to be in violation of any healthcare laws or any other federal or state government regulations that apply to us, we may be subject to significant penalties, including administrative, civil and criminal penalties, damages, fines, disgorgement, exclusion from participation in government health care programs, such as Medicare and Medicaid, imprisonment, integrity oversight and reporting obligations, contractual damages, reputational harm, diminished profits and future earnings, and the curtailment or restructuring of our operations, any of which could adversely affect our business, financial condition, results of operations,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some state and local laws require certain regulatory licenses to manufacture or distribute our products commercially and/or the registration of pharmaceutical sales representatives in the jurisdiction. 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w:t>
      </w:r>
    </w:p>
    <w:p>
      <w:pPr>
        <w:pStyle w:val="TextBody"/>
        <w:bidi w:val="0"/>
        <w:jc w:val="left"/>
        <w:rPr>
          <w:rFonts w:ascii="Times New Roman" w:hAnsi="Times New Roman"/>
          <w:b/>
          <w:i/>
          <w:color w:val="000000"/>
          <w:sz w:val="20"/>
        </w:rPr>
      </w:pPr>
      <w:r>
        <w:rPr>
          <w:rFonts w:ascii="Times New Roman" w:hAnsi="Times New Roman"/>
          <w:b/>
          <w:i/>
          <w:color w:val="000000"/>
          <w:sz w:val="20"/>
        </w:rPr>
        <w:t>Healthcare and other reform legislation, may increase the difficulty and cost for us and any collaborators we may have to obtain marketing approval of and commercialize our product candidates, if approved, and affect the prices we, or they, may obtain.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United States and some foreign jurisdictions, there have been and continue to be ongoing efforts to implement legislative and regulatory changes regarding the healthcare system. Such changes could prevent or delay marketing approval of our product candidates, restrict or regulate post-approval activities and affect our ability to profitably sell any product candidates for which we obtain marketing approval. Although we cannot predict what healthcare or other reform efforts will be successful, such efforts may result in more rigorous coverage criteria, in additional downward pressure on the price that we, or our future collaborators, may receive for any approved products or in other consequences that may adversely affect our ability to achieve or maintain profitability.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Within the United States, the federal government and individual states have aggressively pursued healthcare reform, as evidenced by the passing of the Affordable Care Act (the “ACA”). The ACA substantially changed the way healthcare is financed by both governmental and private insurers and contains a number of provisions that affect coverage and reimbursement of drug products and/or that could potentially reduce the demand for pharmaceutical products. There have been executive, judicial and Congressional challenges and amendments, to certain aspects of the ACA. For example,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current administration is pursuing policies to reduce regulations and expenditures across government agencies including at the U.S. Department of Health and Human Services (“HHS”), the FDA, the Centers for Medicare &amp; Medicaid Services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(“MAHA”)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(“PBM”)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w:t>
      </w:r>
      <w:r>
        <w:rPr>
          <w:rFonts w:ascii="Times New Roman" w:hAnsi="Times New Roman"/>
          <w:i/>
          <w:color w:val="000000"/>
          <w:sz w:val="20"/>
        </w:rPr>
        <w:t>Loper Bright</w:t>
      </w:r>
      <w:r>
        <w:rPr>
          <w:rFonts w:ascii="Times New Roman" w:hAnsi="Times New Roman"/>
          <w:color w:val="000000"/>
          <w:sz w:val="20"/>
        </w:rPr>
        <w:t xml:space="preserve">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The successful commercialization of our product candidates will depend in part on the extent to which governmental authorities and health insurers establish adequate coverage, reimbursement levels and pricing policies. Failure to obtain or maintain coverage and adequate reimbursement for our product candidates, if approved, could limit our ability to market those products and decrease our ability to generate 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availability and adequacy of coverage and reimbursement by governmental healthcare programs such as Medicare and Medicaid, private health insurers and other third-party payors are essential for most patients to be able to afford prescription medications such as our product candidates, if approved. Our ability to achieve acceptable levels of coverage and reimbursement for products by governmental authorities, private health insurers and other organizations will have an effect on our ability to successfully commercialize our product candidates. Obtaining coverage and adequate reimbursement for our products may be particularly difficult because of the higher prices often associated with drugs administered under the supervision of a physician. Even if we obtain coverage for our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candidates by a third-party payor, the resulting reimbursement payment rates may not be adequate or may require co-payments that patients find unacceptably high.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We cannot be sure that coverage and reimbursement in the United States, the EU or elsewhere will be available for our product candidates or any product that we may develop, and any reimbursement that may become available may be decreased or eliminated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Third-party payors increasingly are challenging prices charged for pharmaceutical, biopharmaceutical and biotechnology products and services, and many third-party payors may refuse to provide coverage and reimbursement for particular drugs or biologics when an equivalent generic drug, biosimilar or a less expensive therapy is available. It is possible that a third-party payor may consider our product candidates as substitutable and only offer to reimburse patients for the cost of the less expensive product. Even if we show improved efficacy or improved convenience of administration with our product candidates, pricing of existing third-party therapeutics may limit the amounts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our product candidates. If reimbursement is not available or is available only at limited levels, we may not be able to successfully commercialize our product candidates and may not be able to obtain a satisfactory financial return on our investment in the development of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and biologics will be covered. The Medicare and Medicaid programs increasingly are used as models in the United States for how private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We cannot predict at this time what third-party payors will decide with respect to the coverage and reimbursement for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HHS imposes rebates on many Medicare Part B and Medicare Part D products to penalize price increases that outpace inflation on an annual basis. HHS has also been empowered to negotiate the price of certain single-source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Furthermore, rules and regulations regarding reimbursement change frequently, in some cases on short notice, and we believe that changes in these rules and regulations are likely.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Outside the United States, international operations are generally subject to extensive governmental price controls and other market regulations, and we believe the increasing emphasis on cost-containment initiatives in Europe and other foreign jurisdictions have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amounts that we are able to charge for our product candidates. Accordingly, in markets outside the United States, the reimbursement for our product candidates may be reduced compared with the United States and may be insufficient to generate commercially reasonable revenue and profits.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our product candidates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employees, principal investigators, consultants and commercial partners may engage in misconduct or other improper activities, including non-compliance with regulatory standards and requirements and insider trading.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exposed to the risk of fraud or other misconduct by our employees, consultants and commercial partners, and, if we commence clinical trials, our principal investigators. Misconduct by these parties could include intentional failures to comply with FDA regulations or the regulations applicable in the European Union and other jurisdictions, provide accurate information to the FDA, the EMA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the EMA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 </w:t>
      </w:r>
    </w:p>
    <w:p>
      <w:pPr>
        <w:pStyle w:val="TextBody"/>
        <w:bidi w:val="0"/>
        <w:jc w:val="left"/>
        <w:rPr>
          <w:rFonts w:ascii="Times New Roman" w:hAnsi="Times New Roman"/>
          <w:sz w:val="20"/>
        </w:rPr>
      </w:pPr>
      <w:r>
        <w:rPr>
          <w:rFonts w:ascii="Times New Roman" w:hAnsi="Times New Roman"/>
          <w:b/>
          <w:i/>
          <w:color w:val="000000"/>
          <w:sz w:val="20"/>
        </w:rPr>
        <w:t>Laws and regulations governing any international operations we may have in the future may preclude us from developing, manufacturing and selling certain product candidates outside of the United States and require us to develop and implement costly compliance programs.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 subject to numerous laws and regulations in each jurisdiction outside the United States in which we may operate. The creation, implementation and maintenance of international business practices compliance programs is costly and such programs are difficult to enforce, particularly where reliance on third parties is required.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Foreign Corrupt Practices Act (the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Department of Justice. The SEC is involved with enforcement of the books and records provisions of the FCPA.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Similarly, the U.K. Bribery Act 2010 has extra-territorial effect for companies and individuals having a connection with the United Kingdom. The U.K. Bribery Act prohibits inducements both to public officials and private individuals and organizations. Compliance with the FCPA and the U.K. Bribery Act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Our expansion outside of the United States has required, and will continue to require, us to dedicate additional resources to comply with these laws, and these laws may preclude us from developing, manufacturing or selling certain product candidates outside of the United States, which could limit our growth potential and increase our development costs. The failure to comply with laws governing international business practices may result in substantial penalties, including suspension or debarment from government contracting. Violation of the FCPA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and the third parties with whom we work are subject to stringent and evolving privacy and information security laws, regulations, industry standards, policies, contractual obligations and other obligations related to privacy and information security. Our (or the third parties with whom we work) actual or perceived failure to comply with such obligations could adversely affect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ordinary course of business,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sensitive third-party data, business plans, transactions, information about patients and clinical trial data (collectively, sensitive data).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data processing activities subject us to numerous data privacy and security obligations, such as various laws, regulations, guidance, industry standards, external and internal privacy and security policies, contractual requirements, and other obligations. The legislative and regulatory landscape for privacy and data protection continues to evolve in jurisdictions worldwide, and there has been an increasing focus on privacy and data protection issues with the potential to affect our business. Actual or perceived failure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or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protected health information. In addition,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(collectively, “CCPA”), applies to personal data of consumers, business representatives, and employees who are California residents, and requires businesses to provide specific disclosures in privacy notices and honor requests of such individuals to exercise certain privacy rights. Although there are minimum revenue thresholds for companies to be subject to these laws and there are limited exemptions for clinical trial data under the CCPA and similar state comprehensive privacy laws, such laws may impact (possibly significantly) our business activities depending on how they are interpreted, should we become subject to the CCPA or such state comprehensive privacy laws in the future. Similar laws are being considered in several other states, as well as at the federal and local levels, and we expect more states to pass similar laws in the future. These developments may further complicate compliance efforts and increase legal risk and compliance costs for us and the third parties with whom we work.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Outside the United States, and increasing number of laws govern data privacy and security. For example, the European Union’s General Data Protection Regulation (“EU GDPR)”, the United Kingdom’s GDPR (“UK GDPR”)(collectively, “GDPR”) and China’s Personal Information Protection Law (“PIPL) impose strict requirements for processing personal data.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ordinary course of business, we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the U.S. Department of Justice issued a rule entitled Preventing Access to U.S. Sensitive Personal Data and Government-Related Data by Countries of Concern or Covered Persons, which places additional restrictions on certain data transactions involving countries of concern (e.g., China, Russia, Iran) and covered individuals (i.e., individuals and entities located in or controlled by individuals or entities located in those jurisdictions) that may impact certain business activities such as vendor engagements, employment of certain individuals and investor agreements. Violations of the rule could lead to significant civil and criminal fines and penalties. The rule applies regardless of whether data is anonymized, key-coded, pseudonymized, de-identified or encrypted.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employees and personnel use generative artificial intelligence (“AI”) technologies to perform their work, and the disclosure and use of personal data in generative AI technologies is subject to various privacy laws and other privacy obligations. Governments have passed and are likely to pass additional laws and regulations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data privacy and security laws, we are bound by other contractual obligations related to data privacy and security, and our efforts to comply with such obligations may not be successful. We publish privacy policies and other statements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operations. If we are unable to properly protect the privacy and security of sensitive data in our possession, we could be found to have breached our contracts. Further, if we fail to comply with applicable privacy and security laws, including applicable HIPAA privacy and security standards, we could face significant consequences, including but not limited to: government enforcement actions (e.g., administrative, civil and criminal penalties, investigations, audits, inspections, and similar); litigation (including class-action claims); additional reporting requirements and/or oversight; bans on processing personal data (including clinical trial data); and orders to destroy or not use personal data. In addition, our ongoing efforts to comply with evolving privacy and data security laws and regulations have been and may in the future be costly and require ongoing modifications to our policies, procedures and systems.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w:t>
      </w:r>
    </w:p>
    <w:p>
      <w:pPr>
        <w:pStyle w:val="TextBody"/>
        <w:bidi w:val="0"/>
        <w:jc w:val="left"/>
        <w:rPr>
          <w:rFonts w:ascii="Times New Roman" w:hAnsi="Times New Roman"/>
          <w:sz w:val="20"/>
        </w:rPr>
      </w:pPr>
      <w:r>
        <w:rPr>
          <w:rFonts w:ascii="Times New Roman" w:hAnsi="Times New Roman"/>
          <w:b/>
          <w:color w:val="000000"/>
          <w:sz w:val="20"/>
        </w:rPr>
        <w:t>Risks Related to Employee Matters, Managing Growth and Information Technology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Our future success depends on our ability to retain our Chief Executive Officer and other key executives and to attract, retain and motivate qualified personnel.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highly dependent on Jean-Paul Kress, our Chief Executive Officer, as well as the other principal members of our management and scientific teams. Dr. Kress and such other principal members are employed “at will,” meaning we or they may terminate the employment at any time. We do not maintain “key person” insurance for any of our executives or other employees. The loss of the services of any of these persons could impede the achievement of our research, development and commercialization objectives.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Recruiting and retaining qualified scientific and clinical personnel and, if we progress the development of our product candidates toward scaling up for commercialization, manufacturing and sales and marketing personnel will also be critical to our success. We may not be able to attract and retain these personnel on acceptable terms given the competition among numerous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including our scientific founder, may be employed by employers other than us and may have commitments under consulting or advisory contracts with other entities that may limit their availability to us. The inability to recruit, or loss of services of certain executives, key employees, consultants or advisors, may impede the progress of our research, development and commercialization objectives and have a material adverse effect on our business, financial condition, results of operations and prospects.</w:t>
      </w:r>
    </w:p>
    <w:p>
      <w:pPr>
        <w:pStyle w:val="TextBody"/>
        <w:bidi w:val="0"/>
        <w:jc w:val="left"/>
        <w:rPr>
          <w:rFonts w:ascii="Times New Roman" w:hAnsi="Times New Roman"/>
          <w:sz w:val="20"/>
        </w:rPr>
      </w:pPr>
      <w:r>
        <w:rPr>
          <w:rFonts w:ascii="Times New Roman" w:hAnsi="Times New Roman"/>
          <w:b/>
          <w:i/>
          <w:color w:val="000000"/>
          <w:sz w:val="20"/>
        </w:rPr>
        <w:t>We expect to expand our development, regulatory and future sales and marketing capabilities, and as a result, we may encounter difficulties in managing our growth, which could disrupt our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growth and advancement of our pipeline, we expect to increase the number of our employees and the scope of our operations, particularly in the areas of drug development, regulatory affairs, manufacturing and, as our product candidates advance through later stages of clinical development,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expected expansion of our operations or recruit and train additional qualified personnel. Moreover, the expected physical expansion of our operations may lead to significant costs and may divert our management and business development resources. Any inability to manage growth could delay the execution of our business plans or disrupt our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growing biotechnology company, we are actively pursuing new platforms and product candidates in many therapeutic areas and across a wide range of diseases. Successfully developing product candidates for and fully understanding the regulatory and manufacturing pathways to all of these therapeutic areas and disease states requires a significant depth of talent, resources and corporate processes in order to allow simultaneous execution across multiple areas. Due to our limited resources, we may not be able to effectively manage this simultaneous execution and the expansion of our operations or recruit and train additional qualified personnel. This may result in weaknesses in our infrastructure, give rise to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compete effectively and commercialize our product candidates, if approved, will depend in part on our ability to effectively manage the future development and expansion of our company. </w:t>
      </w:r>
    </w:p>
    <w:p>
      <w:pPr>
        <w:pStyle w:val="TextBody"/>
        <w:bidi w:val="0"/>
        <w:jc w:val="left"/>
        <w:rPr>
          <w:rFonts w:ascii="Times New Roman" w:hAnsi="Times New Roman"/>
          <w:sz w:val="20"/>
        </w:rPr>
      </w:pPr>
      <w:r>
        <w:rPr>
          <w:rFonts w:ascii="Times New Roman" w:hAnsi="Times New Roman"/>
          <w:b/>
          <w:i/>
          <w:color w:val="000000"/>
          <w:sz w:val="20"/>
        </w:rPr>
        <w:t>Our insurance policies may be inadequate and potentially expose us to unrecoverable risks.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limited director and officer insurance and commercial insurance policies. Any significant insurance claims would have a material adverse effect on our business, financial condition and results of operations.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We have observed rapidly changing conditions in the insurance markets relating to nearly all areas of traditional corporate insurance. Such conditions have resulted in higher premium costs, higher policy deductibles and lower coverage limits. For some risks, we may not have or maintain insurance coverage because of cost or availability. </w:t>
      </w:r>
    </w:p>
    <w:p>
      <w:pPr>
        <w:pStyle w:val="TextBody"/>
        <w:bidi w:val="0"/>
        <w:jc w:val="left"/>
        <w:rPr>
          <w:rFonts w:ascii="Times New Roman" w:hAnsi="Times New Roman"/>
          <w:b/>
          <w:i/>
          <w:color w:val="000000"/>
          <w:sz w:val="20"/>
        </w:rPr>
      </w:pPr>
      <w:r>
        <w:rPr>
          <w:rFonts w:ascii="Times New Roman" w:hAnsi="Times New Roman"/>
          <w:b/>
          <w:i/>
          <w:color w:val="000000"/>
          <w:sz w:val="20"/>
        </w:rPr>
        <w:t>If our information technology systems, or those of our third-party vendors, collaborators, or other contractors or consultants or other third parties with whom we work, or our data are or were compromised, we could experience adverse consequences resulting from such compromise, including but not limited to a material disruption of our product development programs, regulatory investigations or actions, litigation, fines and penalties, reputational harm and other adverse consequences.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ordinary course of our business, we and the third parties with whom we work process sensitive data, and, as a result, we and such third parties face a variety of evolving threats that could cause security incidents. Our information technology systems and those of our current and any future third-party vendors, collaborators, consultants or other third parties with whom we work are subject to damage or interruption from a variety of evolving threats, including but not limited to social-engineering attacks (including through deep fakes, which are increasingly more difficult to identify as fake, and phishing attacks), computer viruses, computer hackers, malicious code (such as viruses and worms), malware (including as a result of advanced persistent threat intrusions), employee theft or misuse, supply-chain attacks, software bugs, server malfunctions, software or hardware failures, loss of data or other information technology assets, denial-of-service attacks, credential stuffing, credential harvesting, ransomware attacks, adware,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attacks enhanced or facilitated by AI, sophisticated nation-state and nation-state-supported actors, unauthorized access, natural disasters, terrorism, war and telecommunication and electrical failures. In particular,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Remote work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rely on third parties to operate critical business systems to process sensitive information in a variety of contexts.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have not been compromised.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we seek to protect our information technology systems from system failure, accident and security breach, if such an event were to occur and cause interruptions in our operations, it could result in a disruption of our development programs and our business operations, whether due to a loss of our trade secrets or other sensitive data or other disruptions. For example, the loss of clinical trial data from completed, ongoing or planned clinical trials could result in delays in our regulatory approval efforts and significantly increase our costs to recover or reproduce the data. If we were to experience a significant cybersecurity breach of our information systems or sensitive data, the costs associated with the investigation, remediation and potential notification of the breach to counterparties and data subjects could be material. In addition, our remediation efforts may not be successful. If we are unable to build and sustain the proper technology and cybersecurity infrastructure, we could suffer significant business disruption, including transaction errors, supply chain or manufacturing interruptions, processing inefficiencies, or the loss of or damage to sensitive data.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have implemented security measures designed to help protect sensitive data from unauthorized access or disclosure, our information technology and infrastructure may be vulnerable in the future to attacks by hackers or viruses, failures, or breaches due to third-party action, employee negligence or error, malfeasance, or other incidents or disruptions. For example, we have been the target of phishing attacks in the past and we expect such attacks will continue in the future. Furthermore, while we have implemented data privacy and security measures that are designed to comply with applicable laws and regulations relating to privacy and data protection, some health-related and other personal information or confidential information may be transmitted to us or processed by third parties, who may not implement adequate security and privacy measures, and it is possible that laws, rules and regulations relating to privacy, data protection, or information security may be interpreted and applied in a manner that is inconsistent with our practices or those of third parties who transmit health-related and other personal information or confidential information to us or process such information on our behalf. While we may be entitled to damages if our third-party service providers fail to satisfy their privacy or security-related obligations to us, any award may be insufficient to cover our damages, or we may be unable to recover such award.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take steps designed to detect, mitigate, and remediate vulnerabilities in our information systems (such as our hardware and/or software, including that of third parties with whom we work). We may not, however, detect and remediate all such vulnerabilities including on a timely basis. Further, we may experience delays in deploying remedial measures and patches designed to address identified vulnerabilities. Vulnerabilities could be exploited and result in a security incident. Any of the previously identified or similar threats may in the future cause a security incident or other interruption that may in the future result in unauthorized,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unlawful, or accidental acquisition, modification, destruction, loss, alteration, encryption, disclosure of, or access to our sensitive information or our information technology systems, or those of the third parties with whom we work. A security incident or other interruption could disrupt our ability (and that of third parties ) with whom we work to provide our services. We may in the future expend significant resources or modify our business activities (including our clinical trial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extent that we or third parties with whom we work are found to have violated data security laws, rules or regulations or if we (or a third party with whom we work) experience a security incident or are perceived to have experienced a security incident, including an incident that results in a loss of, or damage to, our or our third-party vendors’, collaborators’, consultants’ or other third parties with whom we work data or systems, or inappropriate disclosure of confidential or proprietary information, we could experience material adverse consequences including but not limited to litigation exposure (including class claims), government enforcement actions (for example, investigations, penalties and fines, audits, and inspections); additional reporting requirements and/or oversight; indemnification obligations; restrictions on processing sensitive data (including clinical trial data); reputational harm; monetary fund diversions; diversion of management attention, our competitive position could be harmed and the further development and commercialization of our product candidates could be delayed. Any of the above could have a material adverse effect on our business, financial condition, results of operations or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 </w:t>
      </w:r>
    </w:p>
    <w:p>
      <w:pPr>
        <w:pStyle w:val="TextBody"/>
        <w:bidi w:val="0"/>
        <w:jc w:val="left"/>
        <w:rPr>
          <w:rFonts w:ascii="Times New Roman" w:hAnsi="Times New Roman"/>
          <w:sz w:val="20"/>
        </w:rPr>
      </w:pPr>
      <w:r>
        <w:rPr>
          <w:rFonts w:ascii="Times New Roman" w:hAnsi="Times New Roman"/>
          <w:b/>
          <w:color w:val="000000"/>
          <w:sz w:val="20"/>
        </w:rPr>
        <w:t>Risks Related to the Ownership of Our Common Stock</w:t>
      </w:r>
      <w:r>
        <w:rPr>
          <w:rFonts w:ascii="Times New Roman" w:hAnsi="Times New Roman"/>
          <w:color w:val="000000"/>
          <w:sz w:val="20"/>
        </w:rPr>
        <w:t xml:space="preserve"> </w:t>
      </w:r>
    </w:p>
    <w:p>
      <w:pPr>
        <w:pStyle w:val="TextBody"/>
        <w:bidi w:val="0"/>
        <w:jc w:val="left"/>
        <w:rPr>
          <w:rFonts w:ascii="Times New Roman" w:hAnsi="Times New Roman"/>
          <w:b/>
          <w:i/>
          <w:color w:val="000000"/>
          <w:sz w:val="20"/>
        </w:rPr>
      </w:pPr>
      <w:r>
        <w:rPr>
          <w:rFonts w:ascii="Times New Roman" w:hAnsi="Times New Roman"/>
          <w:b/>
          <w:i/>
          <w:color w:val="000000"/>
          <w:sz w:val="20"/>
        </w:rPr>
        <w:t>An active trading market for our common stock may not be sustained.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a risk that an active trading market for our shares will not be sustained, which could put downward pressure on the market price of our common stock and thereby affect the ability of our stockholders to sell their shares. An inactive market may also impair our ability to raise capital to continue to fund operations by selling shares of our common stock and may impair our ability to acquire other companies or technologies by using our common stock as consideration.</w:t>
      </w:r>
    </w:p>
    <w:p>
      <w:pPr>
        <w:pStyle w:val="TextBody"/>
        <w:bidi w:val="0"/>
        <w:jc w:val="left"/>
        <w:rPr>
          <w:rFonts w:ascii="Times New Roman" w:hAnsi="Times New Roman"/>
          <w:b/>
          <w:i/>
          <w:color w:val="000000"/>
          <w:sz w:val="20"/>
        </w:rPr>
      </w:pPr>
      <w:r>
        <w:rPr>
          <w:rFonts w:ascii="Times New Roman" w:hAnsi="Times New Roman"/>
          <w:b/>
          <w:i/>
          <w:color w:val="000000"/>
          <w:sz w:val="20"/>
        </w:rPr>
        <w:t>The market price of our common stock may be volatile.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stock price is, and is likely to continue to be, volatile. For example, our stock traded within a range of a high price of $53.40 and a low price of $3.03 per share for the period of January 1, 2025 through August 6, 2026. As a result of volatility, our stockholders may not be able to sell their common stock at or above the prices at which they purchased their shares. Some of the factors that may cause the market price of our common stock to fluctuate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existing or new competitive product candidates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results of clinical trials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RemeGen of clinical trial results for telitacicept in RemeGen’s development programs in Greater China;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or discontinuation of any of our product development and research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preclinical studies, clinical trials or regulatory approvals of product candidates of our competitors, or announcements about new research programs or product candidates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commencement or termination of collaborations for our product development and research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or legal developments in the United States and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or disputes concerning patent applications, issued patents or other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recruitment or departure of key personnel;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expenses related to any of our research programs, product candidates or clinical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our efforts to develop additional product candidates 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estimates as to financial results, development timelines or recommendations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 or expectation of additional financing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our common stock by us, our insiders or other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variations in our financial results or those of companies that are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estimates or recommendations by securities analysts, if any, that cover our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conditions in the pharmaceutical and biotechnology sectors;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or regional public health emergencies, and geopolitical instability, including terrorist attacks, civil unrest and actual or threatened armed conflict;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industry and market conditions, including heightened interest rates and inflation;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other factors described in this “Risk Factors” section.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recent years, the stock market in general, and the market for pharmaceutical and biotechnology companies in particular, has experienced extreme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which could result in substantial costs and divert management’s attention and resources from our business. </w:t>
      </w:r>
    </w:p>
    <w:p>
      <w:pPr>
        <w:pStyle w:val="TextBody"/>
        <w:bidi w:val="0"/>
        <w:jc w:val="left"/>
        <w:rPr>
          <w:rFonts w:ascii="Times New Roman" w:hAnsi="Times New Roman"/>
          <w:sz w:val="20"/>
        </w:rPr>
      </w:pPr>
      <w:r>
        <w:rPr>
          <w:rFonts w:ascii="Times New Roman" w:hAnsi="Times New Roman"/>
          <w:b/>
          <w:i/>
          <w:color w:val="000000"/>
          <w:sz w:val="20"/>
        </w:rPr>
        <w:t>If securities analysts do not publish research or reports about our business or if they publish negative evaluations of our stock, the price of our stock could decline.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trading market for our common stock will be influenced by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 </w:t>
      </w:r>
    </w:p>
    <w:p>
      <w:pPr>
        <w:pStyle w:val="TextBody"/>
        <w:bidi w:val="0"/>
        <w:jc w:val="left"/>
        <w:rPr>
          <w:rFonts w:ascii="Times New Roman" w:hAnsi="Times New Roman"/>
          <w:sz w:val="20"/>
        </w:rPr>
      </w:pPr>
      <w:r>
        <w:rPr>
          <w:rFonts w:ascii="Times New Roman" w:hAnsi="Times New Roman"/>
          <w:b/>
          <w:i/>
          <w:color w:val="000000"/>
          <w:sz w:val="20"/>
        </w:rPr>
        <w:t>A significant portion of our total outstanding shares may be sold into the market in the near future, which could cause the market price of our common stock to decline significantly, even if our business is doing well.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Our outstanding shares of common stock may be freely sold in the public market at any time to the extent permitted by Rules 144 and 701 under the Securities Act of 1933, as amended (the “Securities Act”), or to the extent such shares have already been registered under the Securities Act and are held by non-affiliates.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holders of a substantial number of shares of our common stock have rights, subject to conditions, to require us to file registration statements covering their shares or to include their shares in registration statements that we may file for ourselves or other stockholders. For example, in December 2022 we filed a registration statement on Form S-3 to register the resale of up to 581,395 shares of common stock held by RA Capital Healthcare Fund L.P. which were purchased from us in a private placement, and in January 2025 we filed a registration statement on Form S-3 to register the resale of up to an aggregate of 6,285,515 shares of common stock held by Reprogrammed Interchange LLC and entities affiliated with RA Capital Management, L.P., consisting of (i) 2,793,562 shares of common stock and (ii) 3,491,953 shares of common stock issuable upon the exercise of outstanding warrants to purchase shares of common stock, which were purchased from us in a private placement. We have also filed a registration statement on Form S-3 to register the resale of up to 34,999,999 shares of common stock issuable upon exercise of outstanding warrants, which were purchased from us by certain institutional investors in a private placement, and 16,000,000 shares of common stock that are issuable upon exercise of a warrant to purchase common stock issued to RemeGen as partial consideration for our license agreement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RemeGen, as well as registration statements on Form S-3 to register the resale of up to 13,876,032 shares of common stock purchased from us in December 2025 and up to 5,338,078 shares of common stock purchased from us in the March 2026 Private Placement.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also registered or will register all shares of common stock that we may issue under our equity compensation plans or that are issuable upon exercise of outstanding options on a registration statement on Form S-8 and will continue to register any additional shares that become available under such plans due to any annual, automatic increases under the terms of those plans.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 </w:t>
      </w:r>
    </w:p>
    <w:p>
      <w:pPr>
        <w:pStyle w:val="TextBody"/>
        <w:bidi w:val="0"/>
        <w:jc w:val="left"/>
        <w:rPr>
          <w:rFonts w:ascii="Times New Roman" w:hAnsi="Times New Roman"/>
          <w:sz w:val="20"/>
        </w:rPr>
      </w:pPr>
      <w:r>
        <w:rPr>
          <w:rFonts w:ascii="Times New Roman" w:hAnsi="Times New Roman"/>
          <w:b/>
          <w:i/>
          <w:color w:val="000000"/>
          <w:sz w:val="20"/>
        </w:rPr>
        <w:t>Insiders have substantial control over our company, which could limit the ability of our other stockholders to affect the outcome of key transactions, including a change of control.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executive officers and directors, combined with our stockholders who own more than 5% of our outstanding common stock, and their affiliates, in the aggregate, beneficially own shares representing a substantial amount of our outstanding common stock, as well as warrants to purchase shares of our common stock warrants, which, if exercised, would result in such stockholders owning an even larger percentage of our outstanding common stock. As a result, these stockholders, if they act together, may be able to influence our management and affairs and would control all matters requiring stockholder approval, including the election of directors and approval of significant corporate transactions, such as a merger or other sale of our company or its assets. This concentration of ownership may have the effect of delaying or preventing a change in control of our company or discouraging a potential acquirer from making a tender offer or otherwise attempting to obtain control, even if that change in control would benefit our other stockholders. This significant concentration of ownership may also adversely affect the trading price for our common stock because investors often perceive disadvantages in owning stock in companies with controlling stockholders.</w:t>
      </w:r>
    </w:p>
    <w:p>
      <w:pPr>
        <w:pStyle w:val="TextBody"/>
        <w:bidi w:val="0"/>
        <w:jc w:val="left"/>
        <w:rPr>
          <w:rFonts w:ascii="Times New Roman" w:hAnsi="Times New Roman"/>
          <w:sz w:val="20"/>
        </w:rPr>
      </w:pPr>
      <w:r>
        <w:rPr>
          <w:rFonts w:ascii="Times New Roman" w:hAnsi="Times New Roman"/>
          <w:b/>
          <w:i/>
          <w:color w:val="000000"/>
          <w:sz w:val="20"/>
        </w:rPr>
        <w:t>If we fail to establish and maintain proper and effective internal control over financial reporting, our operating results and our ability to operate our business could be harmed.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may harm our common share price.</w:t>
      </w:r>
    </w:p>
    <w:p>
      <w:pPr>
        <w:pStyle w:val="TextBody"/>
        <w:bidi w:val="0"/>
        <w:spacing w:before="0" w:after="120"/>
        <w:jc w:val="both"/>
        <w:rPr>
          <w:rFonts w:ascii="Times New Roman" w:hAnsi="Times New Roman"/>
          <w:sz w:val="20"/>
        </w:rPr>
      </w:pPr>
      <w:r>
        <w:rPr>
          <w:rFonts w:ascii="Times New Roman" w:hAnsi="Times New Roman"/>
          <w:b/>
          <w:i/>
          <w:color w:val="000000"/>
          <w:sz w:val="20"/>
        </w:rPr>
        <w:t>We will no longer qualify as an “emerging growth company” or a “smaller reporting company” after December 31, 2026, and, as a result, we will have to comply with increased disclosure and compliance requirements.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are currently an “emerging growth company” (“EGC”) as defined in the Jumpstart Our Business Startups Act and a “smaller reporting company” (“SRC”) under the Securities and Exchange Commission (“SEC”) rules. However, because the market value of our common stock held by non-affiliates exceeded $700 million as of June 30, 2026, we will no longer qualify as an EGC or SRC after December 31, 2026 and will be a large accelerated filer beginning January 1, 2027 for future filings, subject to any transitional disclosure periods permitted by the SEC or any changes to SEC rules related to filer status.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a large accelerated filer, in the future we will be subject to certain disclosure and compliance requirements that apply to other public companies but that did not previously apply to us due to our status as an EGC and SRC. These requirements include, but are not limited to:</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requirement that our independent registered public accounting firm attest to the effectiveness of our internal control over financial reporting under Section 404(b) of the Sarbanes-Oxley Act of 2002;</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any requirement that may be adopted by the Public Company Accounting Oversight Board regarding mandatory audit firm rotation or a supplement to the auditor's report providing additional information about the audit and the financial statements;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increased disclosure obligations regarding executive compensation;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requirement that we obtain stockholder approval of any golden parachute payments not previously approved.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expect that the loss of EGC and SRC status and compliance with the additional requirements of being a large accelerated filer will increase our legal, accounting and financial compliance costs and costs associated with investor relations activities, and cause management and other personnel to divert attention from operational and other business matters to devote substantial time to public company reporting requirements. In addition, if we are not able to comply with changing requirements in a timely manner, the market price of our stock could decline and we could be subject to sanctions or investigations by Nasdaq, the SEC or other regulatory authorities, which would require additional financial and management resources.</w:t>
      </w:r>
    </w:p>
    <w:p>
      <w:pPr>
        <w:pStyle w:val="TextBody"/>
        <w:bidi w:val="0"/>
        <w:jc w:val="left"/>
        <w:rPr>
          <w:rFonts w:ascii="Times New Roman" w:hAnsi="Times New Roman"/>
          <w:sz w:val="20"/>
        </w:rPr>
      </w:pPr>
      <w:r>
        <w:rPr>
          <w:rFonts w:ascii="Times New Roman" w:hAnsi="Times New Roman"/>
          <w:b/>
          <w:i/>
          <w:color w:val="000000"/>
          <w:sz w:val="20"/>
        </w:rPr>
        <w:t>We will continue to incur increased costs as a result of operating as a public company, and our management will be required to devote substantial time to new compliance initiatives and corporate governance practices.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public company, and particularly after we are no longer an “emerging growth company” starting on January 1, 2027 as a result of becoming a large accelerated filer we will continue to incur significant legal, accounting and other expenses.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expect that we will need to continue to hire additional accounting, finance and other personnel in connection with our efforts to comply with the requirements of being, a public company, and our management and other personnel will need to continue to devote a substantial amount of time towards maintaining compliance with these requirements. These requirements have increased and will continue to increase our legal and financial compliance costs and make some activities more time-consuming and costly.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SOX Section 404, we are required to furnish a report by our management on our internal control over financial reporting, but in fiscal year 2026, while we remain an emerging growth or a smaller reporting company with less than $100 million in annual revenue, we have not been required to include an attestation report on internal control over financial reporting issued by our independent registered public accounting firm. To maintain compliance with SOX Section 404 and achieve compliance within the prescribed period for the attestation report by our independent registered public accounting firm, we have and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SOX Section 404. If we identify one or more material weaknesses, it could result in an adverse reaction in the financial markets due to a loss of confidence in the reliability of our financial statements. </w:t>
      </w:r>
    </w:p>
    <w:p>
      <w:pPr>
        <w:pStyle w:val="TextBody"/>
        <w:bidi w:val="0"/>
        <w:jc w:val="left"/>
        <w:rPr>
          <w:rFonts w:ascii="Times New Roman" w:hAnsi="Times New Roman"/>
          <w:sz w:val="20"/>
        </w:rPr>
      </w:pPr>
      <w:r>
        <w:rPr>
          <w:rFonts w:ascii="Times New Roman" w:hAnsi="Times New Roman"/>
          <w:b/>
          <w:i/>
          <w:color w:val="000000"/>
          <w:sz w:val="20"/>
        </w:rPr>
        <w:t>Our management team has broad discretion in the use of our cash reserves and may not use them effectively.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management has broad discretion to use our cash reserves and could use our cash reserves in ways that do not improve our results of operations or enhance the value of our common stock. The failure by our management to apply these funds effectively could harm our business, financial condition, results of operations and prospects. Pending their use, we may invest our cash reserves in a manner that does not produce income or that loses value. </w:t>
      </w:r>
    </w:p>
    <w:p>
      <w:pPr>
        <w:pStyle w:val="TextBody"/>
        <w:bidi w:val="0"/>
        <w:jc w:val="left"/>
        <w:rPr>
          <w:rFonts w:ascii="Times New Roman" w:hAnsi="Times New Roman"/>
          <w:sz w:val="20"/>
        </w:rPr>
      </w:pPr>
      <w:r>
        <w:rPr>
          <w:rFonts w:ascii="Times New Roman" w:hAnsi="Times New Roman"/>
          <w:b/>
          <w:i/>
          <w:color w:val="000000"/>
          <w:sz w:val="20"/>
        </w:rPr>
        <w:t>We do not expect to pay any dividends for the foreseeable future. Accordingly our stockholders must rely on capital appreciation, if any, for any return on their investment.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never declared or paid any cash dividends on our equity securities. We do not anticipate that we will pay any dividends to holders of our common stock in the foreseeable future. Instead, we plan to retain any earnings to maintain and expand our existing operations. In addition, any future credit facility that we enter into may contain terms prohibiting or limiting the amount of dividends that may be declared or paid on our common stock. As a result, capital appreciation, if any, of our common stock will be stockholders’ sole source of gain for the foreseeable future.</w:t>
      </w:r>
    </w:p>
    <w:p>
      <w:pPr>
        <w:pStyle w:val="TextBody"/>
        <w:bidi w:val="0"/>
        <w:jc w:val="left"/>
        <w:rPr>
          <w:rFonts w:ascii="Times New Roman" w:hAnsi="Times New Roman"/>
          <w:sz w:val="20"/>
        </w:rPr>
      </w:pPr>
      <w:r>
        <w:rPr>
          <w:rFonts w:ascii="Times New Roman" w:hAnsi="Times New Roman"/>
          <w:b/>
          <w:i/>
          <w:color w:val="000000"/>
          <w:sz w:val="20"/>
        </w:rPr>
        <w:t>Unfavorable global economic conditions, new tariffs, legislation or bank closures could adversely affect our business, financial condition or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results of operations could be adversely affected by general conditions in the global economy and in the global financial markets, including as a result of heightened inflation and interest rates. A severe or prolonged economic downturn, or additional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global financial crises, including related to potential future pandemics, geopolitical issues, armed conflicts or U.S.-China trade and political tensions, could result in a variety of risks to our business, including weakened demand for our product candidates, if approved, or our 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Significant political, trade, or regulatory developments in the United States or other countries in which we have clinical trials, third party suppliers or service providers may have a material adverse effect on us. Similarly, changes in U.S. federal policy that affect the geopolitical landscape could give rise to circumstances outside our control that could have negative impacts on our business operations.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could also be affected by new and increased tariffs or other legislation between the United States and other countries, including China. These additional tariffs and any retaliatory tariffs by other countries could substantially increase our costs associated with the manufacture and supply of our product candidates. The global trade environment is rapidly evolving, and the United States and other countries may impose additional new tariffs, the scope of which we are unable to predict but that may adversely impact our business. For example, on April 2, 2026, the U.S. presidential administration issued a proclamation entitled “Adjusting Imports of Pharmaceuticals and Pharmaceutical Ingredients into the United States,” which would impose tariffs of up to 100% on certain covered imported patented pharmaceutical products and associated pharmaceutical ingredients, subject to exemptions and reduced-rate pathways. We currently contract with third parties outside the U.S. for the manufacture and supply of telitacicept, including suppliers in China. The scope, implementation and availability of exemptions or reduced-rate pathways under this proclamation remain uncertain, and telitacicept or any future product candidates may not qualify for such exemptions or pathways. If our activities or those of our third-party suppliers or service providers fall within the scope of any of these or other tariffs, our costs may increase significantly.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available cash and cash equivalents are held in accounts managed by third party financial institutions and consist of cash in our operating accounts and cash invested in money market funds. At any point in time, the funds in our operating accounts may exceed the Federal Deposit Insurance Corporation insurance limits. While we monitor the cash balances in our operating accounts and adjust the cash balances as appropriate, these cash balances could be impacted if the underlying financial institutions fail. We can provide no assurances that access to our operating cash or invested cash and cash equivalents will not be impacted by adverse conditions in the financial markets.</w:t>
      </w:r>
    </w:p>
    <w:p>
      <w:pPr>
        <w:pStyle w:val="TextBody"/>
        <w:bidi w:val="0"/>
        <w:jc w:val="left"/>
        <w:rPr>
          <w:rFonts w:ascii="Times New Roman" w:hAnsi="Times New Roman"/>
          <w:sz w:val="20"/>
        </w:rPr>
      </w:pPr>
      <w:r>
        <w:rPr>
          <w:rFonts w:ascii="Times New Roman" w:hAnsi="Times New Roman"/>
          <w:b/>
          <w:i/>
          <w:color w:val="000000"/>
          <w:sz w:val="20"/>
        </w:rPr>
        <w:t>Provisions in our certificate of incorporation and bylaws and under Delaware law could make a change in control of us, which may be beneficial to our stockholders, more difficult and may prevent attempts by our stockholders to replace or remove our current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Provisions in our amended and restated certificate of incorporation and our amended and restated bylaws may discourage, delay or prevent a merger, acquisition or other change in control of us that stockholders may consider favorable, including transactions in which our stockholders might otherwise receive a premium for their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classified board of directors such that not all members of the board are elected at one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allow the authorized number of our directors to be changed only by resolution of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 the manner in which stockholders can remove directors from the board;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advance notice requirements for stockholder proposals that can be acted on at stockholder meetings and nominations to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that stockholder actions must be effected at a duly called stockholder meeting and prohibit actions by our stockholders by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 who may call stockholder meetings;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require the approval of the holders of at least 66</w:t>
      </w:r>
      <w:r>
        <w:rPr>
          <w:rFonts w:ascii="Times New Roman" w:hAnsi="Times New Roman"/>
          <w:color w:val="000000"/>
          <w:sz w:val="13"/>
        </w:rPr>
        <w:t>2</w:t>
      </w:r>
      <w:r>
        <w:rPr>
          <w:color w:val="000000"/>
        </w:rPr>
        <w:t>⁄</w:t>
      </w:r>
      <w:r>
        <w:rPr>
          <w:rFonts w:ascii="Times New Roman" w:hAnsi="Times New Roman"/>
          <w:color w:val="000000"/>
          <w:sz w:val="13"/>
        </w:rPr>
        <w:t>3</w:t>
      </w:r>
      <w:r>
        <w:rPr>
          <w:rFonts w:ascii="Times New Roman" w:hAnsi="Times New Roman"/>
          <w:color w:val="000000"/>
          <w:sz w:val="20"/>
        </w:rPr>
        <w:t xml:space="preserve">% of the votes that all our stockholders would be entitled to cast to amend or repeal certain provisions of our charter or bylaws.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because we are incorporated in Delaware, we are governed by the provisions of Section 203 of the Delaware General Corporation Law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We have not elected to opt out of DGCL Section 203. These provisions could discourage potential acquisition proposals and could delay or prevent a change in control transaction. They could also have the effect of discouraging others from making tender offers for our common stock, including transactions that may be in our stockholders’ best interests. These provisions may also prevent changes in our management or limit the price that investors are willing to pay for our common stock. </w:t>
      </w:r>
    </w:p>
    <w:p>
      <w:pPr>
        <w:pStyle w:val="TextBody"/>
        <w:bidi w:val="0"/>
        <w:jc w:val="left"/>
        <w:rPr>
          <w:rFonts w:ascii="Times New Roman" w:hAnsi="Times New Roman"/>
          <w:sz w:val="20"/>
        </w:rPr>
      </w:pPr>
      <w:r>
        <w:rPr>
          <w:rFonts w:ascii="Times New Roman" w:hAnsi="Times New Roman"/>
          <w:b/>
          <w:i/>
          <w:color w:val="000000"/>
          <w:sz w:val="20"/>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provides that the Court of Chancery of the State of Delaware is the exclusive forum for the following types of actions or proceedings under Delaware statutory or common law: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derivative action or proceeding brought on our behalf;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breach of fiduciary duty;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against us arising under the DGCL, our amended and restated certificate of incorporation or our amended and restated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against us that is governed by the internal-affairs doctrine.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provision would not apply to suits brought to enforce a duty or liability created by the Securities Exchange Act of 1934, as amended.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w:t>
      </w:r>
    </w:p>
    <w:p>
      <w:pPr>
        <w:pStyle w:val="TextBody"/>
        <w:bidi w:val="0"/>
        <w:spacing w:before="240" w:after="283"/>
        <w:jc w:val="left"/>
        <w:rPr/>
      </w:pPr>
      <w:r>
        <w:rPr/>
        <w:t> </w:t>
      </w:r>
    </w:p>
    <w:p>
      <w:pPr>
        <w:pStyle w:val="TextBody"/>
        <w:bidi w:val="0"/>
        <w:spacing w:before="240" w:after="283"/>
        <w:jc w:val="left"/>
        <w:rPr>
          <w:rFonts w:ascii="Times New Roman" w:hAnsi="Times New Roman"/>
          <w:b/>
          <w:color w:val="000000"/>
          <w:sz w:val="20"/>
        </w:rPr>
      </w:pPr>
      <w:bookmarkStart w:id="15" w:name="item_5_other_information"/>
      <w:bookmarkEnd w:id="15"/>
      <w:r>
        <w:rPr>
          <w:rFonts w:ascii="Times New Roman" w:hAnsi="Times New Roman"/>
          <w:b/>
          <w:color w:val="000000"/>
          <w:sz w:val="20"/>
        </w:rPr>
        <w:t>Item 5. Other Information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Director and Officer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quarter ended June 30, 2026, no director or officer, as defined in Rule 16a-1(f), adopted or terminated a “Rule 10b5-1 trading arrangement” or a “non-Rule 10b5-1 trading arrangement,” each as defined in Regulation S-K Item 408.</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6" w:name="item_6_exhibits"/>
      <w:bookmarkEnd w:id="16"/>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9"/>
        <w:gridCol w:w="146"/>
        <w:gridCol w:w="4535"/>
        <w:gridCol w:w="146"/>
        <w:gridCol w:w="511"/>
        <w:gridCol w:w="146"/>
        <w:gridCol w:w="715"/>
        <w:gridCol w:w="146"/>
        <w:gridCol w:w="805"/>
        <w:gridCol w:w="146"/>
        <w:gridCol w:w="1114"/>
        <w:gridCol w:w="146"/>
        <w:gridCol w:w="910"/>
      </w:tblGrid>
      <w:tr>
        <w:trPr/>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7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82"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39"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53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1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0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1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 Herewith</w:t>
            </w:r>
          </w:p>
        </w:tc>
      </w:tr>
      <w:tr>
        <w:trPr/>
        <w:tc>
          <w:tcPr>
            <w:tcW w:w="7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35"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001-39979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9, 2021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35"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to the Amended and Restated Certificate of Incorporation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001-39979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23, 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35"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Amendment to the Amended and Restated Certificate of Incorporation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001-39979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17, 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35"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Bylaws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001-39979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9, 2021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35" w:type="dxa"/>
            <w:tcBorders/>
            <w:tcMar>
              <w:top w:w="0" w:type="dxa"/>
              <w:left w:w="0" w:type="dxa"/>
              <w:bottom w:w="0" w:type="dxa"/>
              <w:right w:w="0" w:type="dxa"/>
            </w:tcMar>
            <w:vAlign w:val="center"/>
          </w:tcPr>
          <w:p>
            <w:pPr>
              <w:pStyle w:val="TableContents"/>
              <w:bidi w:val="0"/>
              <w:spacing w:before="0" w:after="283"/>
              <w:jc w:val="left"/>
              <w:rPr/>
            </w:pPr>
            <w:hyperlink w:anchor="vor-ex10_1.htm">
              <w:r>
                <w:rPr>
                  <w:rStyle w:val="InternetLink"/>
                  <w:rFonts w:ascii="Times New Roman" w:hAnsi="Times New Roman"/>
                  <w:color w:val="0000FF"/>
                  <w:sz w:val="20"/>
                  <w:u w:val="single"/>
                </w:rPr>
                <w:t>Securities Purchase Agreement, dated March 26, 2026, by and between the Registrant and the investors named therein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0"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X</w:t>
            </w:r>
          </w:p>
          <w:p>
            <w:pPr>
              <w:pStyle w:val="TableContents"/>
              <w:bidi w:val="0"/>
              <w:spacing w:before="0" w:after="283"/>
              <w:jc w:val="left"/>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35" w:type="dxa"/>
            <w:tcBorders/>
            <w:tcMar>
              <w:top w:w="0" w:type="dxa"/>
              <w:left w:w="0" w:type="dxa"/>
              <w:bottom w:w="0" w:type="dxa"/>
              <w:right w:w="0" w:type="dxa"/>
            </w:tcMar>
            <w:vAlign w:val="center"/>
          </w:tcPr>
          <w:p>
            <w:pPr>
              <w:pStyle w:val="TableContents"/>
              <w:bidi w:val="0"/>
              <w:spacing w:before="0" w:after="283"/>
              <w:jc w:val="left"/>
              <w:rPr/>
            </w:pPr>
            <w:hyperlink w:anchor="vor-ex10_2.htm">
              <w:r>
                <w:rPr>
                  <w:rStyle w:val="InternetLink"/>
                  <w:rFonts w:ascii="Times New Roman" w:hAnsi="Times New Roman"/>
                  <w:color w:val="0000FF"/>
                  <w:sz w:val="20"/>
                  <w:u w:val="single"/>
                </w:rPr>
                <w:t>Registration Rights Agreement, dated March 26, 2026, by and between the Registrant and the investors named therein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0"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X</w:t>
            </w:r>
          </w:p>
          <w:p>
            <w:pPr>
              <w:pStyle w:val="TableContents"/>
              <w:bidi w:val="0"/>
              <w:spacing w:before="0" w:after="283"/>
              <w:jc w:val="left"/>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35"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Non-Employee Director Compensation Policy</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001-39979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30,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35"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Vor Biopharma Inc. Amended and Restated 2021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001-39979</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12,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35" w:type="dxa"/>
            <w:tcBorders/>
            <w:tcMar>
              <w:top w:w="0" w:type="dxa"/>
              <w:left w:w="0" w:type="dxa"/>
              <w:bottom w:w="0" w:type="dxa"/>
              <w:right w:w="0" w:type="dxa"/>
            </w:tcMar>
            <w:vAlign w:val="center"/>
          </w:tcPr>
          <w:p>
            <w:pPr>
              <w:pStyle w:val="TableContents"/>
              <w:bidi w:val="0"/>
              <w:spacing w:before="0" w:after="283"/>
              <w:jc w:val="left"/>
              <w:rPr/>
            </w:pPr>
            <w:hyperlink w:anchor="vor-ex31_1.htm">
              <w:r>
                <w:rPr>
                  <w:rStyle w:val="InternetLink"/>
                  <w:rFonts w:ascii="Times New Roman" w:hAnsi="Times New Roman"/>
                  <w:color w:val="0000FF"/>
                  <w:sz w:val="20"/>
                  <w:u w:val="single"/>
                </w:rPr>
                <w:t>Certification of Principal Executive Officer pursuant to Rules 13a-14(a)/15d-14(a) under the Securities Exchange Act of 1934, as amended,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35" w:type="dxa"/>
            <w:tcBorders/>
            <w:tcMar>
              <w:top w:w="0" w:type="dxa"/>
              <w:left w:w="0" w:type="dxa"/>
              <w:bottom w:w="0" w:type="dxa"/>
              <w:right w:w="0" w:type="dxa"/>
            </w:tcMar>
            <w:vAlign w:val="center"/>
          </w:tcPr>
          <w:p>
            <w:pPr>
              <w:pStyle w:val="TableContents"/>
              <w:bidi w:val="0"/>
              <w:spacing w:before="0" w:after="283"/>
              <w:jc w:val="left"/>
              <w:rPr/>
            </w:pPr>
            <w:hyperlink w:anchor="vor-ex31_2.htm">
              <w:r>
                <w:rPr>
                  <w:rStyle w:val="InternetLink"/>
                  <w:rFonts w:ascii="Times New Roman" w:hAnsi="Times New Roman"/>
                  <w:color w:val="0000FF"/>
                  <w:sz w:val="20"/>
                  <w:u w:val="single"/>
                </w:rPr>
                <w:t>Certification of Principal Financial Officer pursuant to Rules 13a-14(a)/15d-14(a) under the Securities Exchange Act of 1934, as amended,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35" w:type="dxa"/>
            <w:tcBorders/>
            <w:tcMar>
              <w:top w:w="0" w:type="dxa"/>
              <w:left w:w="0" w:type="dxa"/>
              <w:bottom w:w="0" w:type="dxa"/>
              <w:right w:w="0" w:type="dxa"/>
            </w:tcMar>
            <w:vAlign w:val="center"/>
          </w:tcPr>
          <w:p>
            <w:pPr>
              <w:pStyle w:val="TableContents"/>
              <w:bidi w:val="0"/>
              <w:spacing w:before="0" w:after="283"/>
              <w:jc w:val="left"/>
              <w:rPr/>
            </w:pPr>
            <w:hyperlink w:anchor="vor-ex32_1.htm">
              <w:r>
                <w:rPr>
                  <w:rStyle w:val="InternetLink"/>
                  <w:rFonts w:ascii="Times New Roman" w:hAnsi="Times New Roman"/>
                  <w:color w:val="0000FF"/>
                  <w:sz w:val="20"/>
                  <w:u w:val="single"/>
                </w:rPr>
                <w:t>Certification of Principal Executive and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35"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Inline XBRL Instance Document</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35"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Inline XBRL Taxonomy Extension Schema Document</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101.CAL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35"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Inline XBRL Taxonomy Extension Calculation Linkbase Document</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02"/>
        <w:gridCol w:w="146"/>
        <w:gridCol w:w="7035"/>
        <w:gridCol w:w="202"/>
        <w:gridCol w:w="202"/>
        <w:gridCol w:w="202"/>
        <w:gridCol w:w="202"/>
        <w:gridCol w:w="202"/>
        <w:gridCol w:w="202"/>
        <w:gridCol w:w="202"/>
        <w:gridCol w:w="202"/>
        <w:gridCol w:w="202"/>
        <w:gridCol w:w="404"/>
      </w:tblGrid>
      <w:tr>
        <w:trPr/>
        <w:tc>
          <w:tcPr>
            <w:tcW w:w="8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80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101.DEF</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35"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Inline XBRL Taxonomy Extension Definition Linkbase Document</w:t>
            </w:r>
          </w:p>
          <w:p>
            <w:pPr>
              <w:pStyle w:val="TableContents"/>
              <w:bidi w:val="0"/>
              <w:spacing w:before="0" w:after="283"/>
              <w:jc w:val="left"/>
              <w:rPr/>
            </w:pPr>
            <w:r>
              <w:rPr/>
              <w:t> </w:t>
            </w:r>
          </w:p>
        </w:tc>
        <w:tc>
          <w:tcPr>
            <w:tcW w:w="2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0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101.LAB</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35"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Inline XBRL Taxonomy Extension Label Linkbase Document</w:t>
            </w:r>
          </w:p>
          <w:p>
            <w:pPr>
              <w:pStyle w:val="TableContents"/>
              <w:bidi w:val="0"/>
              <w:spacing w:before="0" w:after="283"/>
              <w:jc w:val="left"/>
              <w:rPr/>
            </w:pPr>
            <w:r>
              <w:rPr/>
              <w:t> </w:t>
            </w:r>
          </w:p>
        </w:tc>
        <w:tc>
          <w:tcPr>
            <w:tcW w:w="2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101.PRE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35"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Inline XBRL Taxonomy Extension Presentation Linkbase Document</w:t>
            </w:r>
          </w:p>
          <w:p>
            <w:pPr>
              <w:pStyle w:val="TableContents"/>
              <w:bidi w:val="0"/>
              <w:spacing w:before="0" w:after="283"/>
              <w:jc w:val="left"/>
              <w:rPr/>
            </w:pPr>
            <w:r>
              <w:rPr/>
              <w:t> </w:t>
            </w:r>
          </w:p>
        </w:tc>
        <w:tc>
          <w:tcPr>
            <w:tcW w:w="2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7" w:type="dxa"/>
            <w:gridSpan w:val="11"/>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from the Company’s Quarterly Report on Form 10-Q for the quarter ended June 30, 2026, formatted in Inline XBRL.</w:t>
            </w:r>
          </w:p>
        </w:tc>
      </w:tr>
    </w:tbl>
    <w:p>
      <w:pPr>
        <w:pStyle w:val="TextBody"/>
        <w:pBdr>
          <w:bottom w:val="single" w:sz="4"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jc w:val="left"/>
        <w:rPr>
          <w:rFonts w:ascii="Times New Roman" w:hAnsi="Times New Roman"/>
          <w:color w:val="000000"/>
          <w:sz w:val="20"/>
        </w:rPr>
      </w:pPr>
      <w:r>
        <w:rPr>
          <w:rFonts w:ascii="Times New Roman" w:hAnsi="Times New Roman"/>
          <w:color w:val="000000"/>
          <w:sz w:val="20"/>
        </w:rPr>
        <w:t>^ Schedules and similar attachments have been omitted pursuant to Item 601(a)(5) of Regulation S-K. The Registrant will furnish a supplemental copy of any omitted schedule or similar attachment to the SEC upon request.</w:t>
      </w:r>
    </w:p>
    <w:p>
      <w:pPr>
        <w:pStyle w:val="TextBody"/>
        <w:bidi w:val="0"/>
        <w:jc w:val="left"/>
        <w:rPr>
          <w:rFonts w:ascii="Times New Roman" w:hAnsi="Times New Roman"/>
          <w:color w:val="000000"/>
          <w:sz w:val="20"/>
        </w:rPr>
      </w:pPr>
      <w:r>
        <w:rPr>
          <w:rFonts w:ascii="Times New Roman" w:hAnsi="Times New Roman"/>
          <w:color w:val="000000"/>
          <w:sz w:val="20"/>
        </w:rPr>
        <w:t> The certifications furnished in Exhibit 32.1 hereto are deemed to be furnished with this Quarterly Report on Form 10-Q and will not be deemed to be “filed” for purposes of Section 18 of the Exchange Act. Such certifications will not be deemed to be incorporated by reference into any filing under the Securities Act of 1933, as amended, or the Exchange Act, except to the extent that the Registrant specifically incorporates it by reference.</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7" w:name="signatures"/>
      <w:bookmarkEnd w:id="17"/>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8047" w:type="dxa"/>
        <w:jc w:val="left"/>
        <w:tblInd w:w="0" w:type="dxa"/>
        <w:tblLayout w:type="fixed"/>
        <w:tblCellMar>
          <w:top w:w="28" w:type="dxa"/>
          <w:left w:w="28" w:type="dxa"/>
          <w:bottom w:w="28" w:type="dxa"/>
          <w:right w:w="28" w:type="dxa"/>
        </w:tblCellMar>
      </w:tblPr>
      <w:tblGrid>
        <w:gridCol w:w="1951"/>
        <w:gridCol w:w="109"/>
        <w:gridCol w:w="406"/>
        <w:gridCol w:w="558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58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VOR BIOPHARMA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5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Jean-Paul Kress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Jean-Paul Kress</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 (Principal Executive Officer)</w:t>
            </w:r>
          </w:p>
        </w:tc>
      </w:tr>
    </w:tbl>
    <w:p>
      <w:pPr>
        <w:pStyle w:val="TextBody"/>
        <w:bidi w:val="0"/>
        <w:jc w:val="left"/>
        <w:rPr/>
      </w:pPr>
      <w:r>
        <w:rPr/>
        <w:t> </w:t>
      </w:r>
    </w:p>
    <w:tbl>
      <w:tblPr>
        <w:tblW w:w="9517" w:type="dxa"/>
        <w:jc w:val="left"/>
        <w:tblInd w:w="0" w:type="dxa"/>
        <w:tblLayout w:type="fixed"/>
        <w:tblCellMar>
          <w:top w:w="28" w:type="dxa"/>
          <w:left w:w="28" w:type="dxa"/>
          <w:bottom w:w="28" w:type="dxa"/>
          <w:right w:w="28" w:type="dxa"/>
        </w:tblCellMar>
      </w:tblPr>
      <w:tblGrid>
        <w:gridCol w:w="1951"/>
        <w:gridCol w:w="109"/>
        <w:gridCol w:w="406"/>
        <w:gridCol w:w="705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705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70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Sandesh Mahatme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Sandesh Mahatme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(Principal Financial Officer and Principal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right"/>
        <w:rPr/>
      </w:pPr>
      <w:bookmarkStart w:id="18" w:name="vor-ex10_1.htm"/>
      <w:bookmarkStart w:id="19" w:name="ksvorex10_1"/>
      <w:bookmarkEnd w:id="18"/>
      <w:bookmarkEnd w:id="19"/>
      <w:r>
        <w:rPr/>
        <w:t> </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SECURITIES PURCHASE AGREEMENT</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This </w:t>
      </w:r>
      <w:r>
        <w:rPr>
          <w:rFonts w:ascii="Times New Roman" w:hAnsi="Times New Roman"/>
          <w:b/>
          <w:color w:val="000000"/>
          <w:sz w:val="24"/>
        </w:rPr>
        <w:t>SECURITIES PURCHASE AGREEMENT</w:t>
      </w:r>
      <w:r>
        <w:rPr>
          <w:rFonts w:ascii="Times New Roman" w:hAnsi="Times New Roman"/>
          <w:color w:val="000000"/>
          <w:sz w:val="20"/>
        </w:rPr>
        <w:t xml:space="preserve"> </w:t>
      </w:r>
      <w:r>
        <w:rPr>
          <w:rFonts w:ascii="Times New Roman" w:hAnsi="Times New Roman"/>
          <w:color w:val="000000"/>
          <w:sz w:val="24"/>
        </w:rPr>
        <w:t>(this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is dated as of March 26, 2026, by and among Vor Biopharma Inc., a Delaware corporation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xml:space="preserve">), and each of the purchasers listed on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attached to this Agreement (each, an “</w:t>
      </w:r>
      <w:r>
        <w:rPr>
          <w:rFonts w:ascii="Times New Roman" w:hAnsi="Times New Roman"/>
          <w:b/>
          <w:color w:val="000000"/>
          <w:sz w:val="24"/>
        </w:rPr>
        <w:t>Investor</w:t>
      </w:r>
      <w:r>
        <w:rPr>
          <w:rFonts w:ascii="Times New Roman" w:hAnsi="Times New Roman"/>
          <w:color w:val="000000"/>
          <w:sz w:val="20"/>
        </w:rPr>
        <w:t xml:space="preserve">” </w:t>
      </w:r>
      <w:r>
        <w:rPr>
          <w:rFonts w:ascii="Times New Roman" w:hAnsi="Times New Roman"/>
          <w:color w:val="000000"/>
          <w:sz w:val="24"/>
        </w:rPr>
        <w:t>and together, the “</w:t>
      </w:r>
      <w:r>
        <w:rPr>
          <w:rFonts w:ascii="Times New Roman" w:hAnsi="Times New Roman"/>
          <w:b/>
          <w:color w:val="000000"/>
          <w:sz w:val="24"/>
        </w:rPr>
        <w:t>Investors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Company and the Investors are executing and delivering this Agreement in reliance upon the exemption from securities registration afforded by Section 4(a)(2) of the Securities Act;</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Company desires to sell to the Investors, and each Investor desires to purchase from the Company, severally and not jointly, upon the terms and subject to the conditions stated in this Agreement, shares of Common Stock (the “</w:t>
      </w:r>
      <w:r>
        <w:rPr>
          <w:rFonts w:ascii="Times New Roman" w:hAnsi="Times New Roman"/>
          <w:b/>
          <w:color w:val="000000"/>
          <w:sz w:val="24"/>
        </w:rPr>
        <w:t>Shares</w:t>
      </w:r>
      <w:r>
        <w:rPr>
          <w:rFonts w:ascii="Times New Roman" w:hAnsi="Times New Roman"/>
          <w:color w:val="000000"/>
          <w:sz w:val="20"/>
        </w:rPr>
        <w:t>”</w:t>
      </w:r>
      <w:r>
        <w:rPr>
          <w:rFonts w:ascii="Times New Roman" w:hAnsi="Times New Roman"/>
          <w:color w:val="000000"/>
          <w:sz w:val="24"/>
        </w:rPr>
        <w:t>); and</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xml:space="preserve">, contemporaneously with the sale of the Shares, the parties hereto will execute and deliver a Registration Rights Agreement, substantially in the form attached hereto as </w:t>
      </w:r>
      <w:r>
        <w:rPr>
          <w:rFonts w:ascii="Times New Roman" w:hAnsi="Times New Roman"/>
          <w:color w:val="000000"/>
          <w:sz w:val="24"/>
          <w:u w:val="single"/>
        </w:rPr>
        <w:t>Exhibit B</w:t>
      </w:r>
      <w:r>
        <w:rPr>
          <w:rFonts w:ascii="Times New Roman" w:hAnsi="Times New Roman"/>
          <w:color w:val="000000"/>
          <w:sz w:val="24"/>
        </w:rPr>
        <w:t>, pursuant to which the Company will agree to provide certain registration rights in respect of the Shares under the Securities Act and applicable state securities laws.</w:t>
      </w:r>
    </w:p>
    <w:p>
      <w:pPr>
        <w:pStyle w:val="TextBody"/>
        <w:bidi w:val="0"/>
        <w:spacing w:before="0" w:after="240"/>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in consideration of the mutual agreements, representations, warranties and covenants herein contained, the Company and each Investor, severally and not jointly, agree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4"/>
          <w:u w:val="single"/>
        </w:rPr>
        <w:t>Definitions</w:t>
      </w:r>
      <w:r>
        <w:rPr>
          <w:rFonts w:ascii="Times New Roman" w:hAnsi="Times New Roman"/>
          <w:color w:val="000000"/>
          <w:sz w:val="24"/>
        </w:rPr>
        <w:t>. As used in this Agreement, the following terms shall have the following respective meanings:</w:t>
      </w:r>
    </w:p>
    <w:p>
      <w:pPr>
        <w:pStyle w:val="TextBody"/>
        <w:bidi w:val="0"/>
        <w:spacing w:before="0" w:after="240"/>
        <w:jc w:val="both"/>
        <w:rPr/>
      </w:pPr>
      <w:r>
        <w:rPr>
          <w:color w:val="000000"/>
        </w:rPr>
        <w:t>“</w:t>
      </w:r>
      <w:r>
        <w:rPr>
          <w:rFonts w:ascii="Times New Roman" w:hAnsi="Times New Roman"/>
          <w:b/>
          <w:color w:val="000000"/>
          <w:sz w:val="24"/>
        </w:rPr>
        <w:t>Affiliate</w:t>
      </w:r>
      <w:r>
        <w:rPr>
          <w:rFonts w:ascii="Times New Roman" w:hAnsi="Times New Roman"/>
          <w:color w:val="000000"/>
          <w:sz w:val="20"/>
        </w:rPr>
        <w:t xml:space="preserve">” </w:t>
      </w:r>
      <w:r>
        <w:rPr>
          <w:rFonts w:ascii="Times New Roman" w:hAnsi="Times New Roman"/>
          <w:color w:val="000000"/>
          <w:sz w:val="24"/>
        </w:rPr>
        <w:t>means, with respect to any Person, any other Person that, directly or indirectly through one or more intermediates, controls, is controlled by or is under common control with such Person.</w:t>
      </w:r>
    </w:p>
    <w:p>
      <w:pPr>
        <w:pStyle w:val="TextBody"/>
        <w:bidi w:val="0"/>
        <w:spacing w:before="0" w:after="240"/>
        <w:jc w:val="both"/>
        <w:rPr/>
      </w:pPr>
      <w:r>
        <w:rPr>
          <w:color w:val="000000"/>
        </w:rPr>
        <w:t>“</w:t>
      </w:r>
      <w:r>
        <w:rPr>
          <w:rFonts w:ascii="Times New Roman" w:hAnsi="Times New Roman"/>
          <w:b/>
          <w:color w:val="000000"/>
          <w:sz w:val="24"/>
        </w:rPr>
        <w:t>Agreement</w:t>
      </w:r>
      <w:r>
        <w:rPr>
          <w:rFonts w:ascii="Times New Roman" w:hAnsi="Times New Roman"/>
          <w:color w:val="000000"/>
          <w:sz w:val="20"/>
        </w:rPr>
        <w:t xml:space="preserve">” </w:t>
      </w:r>
      <w:r>
        <w:rPr>
          <w:rFonts w:ascii="Times New Roman" w:hAnsi="Times New Roman"/>
          <w:color w:val="000000"/>
          <w:sz w:val="24"/>
        </w:rPr>
        <w:t>has the meaning set forth in the recitals.</w:t>
      </w:r>
    </w:p>
    <w:p>
      <w:pPr>
        <w:pStyle w:val="TextBody"/>
        <w:bidi w:val="0"/>
        <w:spacing w:before="0" w:after="240"/>
        <w:jc w:val="both"/>
        <w:rPr/>
      </w:pPr>
      <w:r>
        <w:rPr>
          <w:color w:val="000000"/>
        </w:rPr>
        <w:t>“</w:t>
      </w:r>
      <w:r>
        <w:rPr>
          <w:rFonts w:ascii="Times New Roman" w:hAnsi="Times New Roman"/>
          <w:b/>
          <w:color w:val="000000"/>
          <w:sz w:val="24"/>
        </w:rPr>
        <w:t>Amended and Restated Bylaws</w:t>
      </w:r>
      <w:r>
        <w:rPr>
          <w:rFonts w:ascii="Times New Roman" w:hAnsi="Times New Roman"/>
          <w:color w:val="000000"/>
          <w:sz w:val="20"/>
        </w:rPr>
        <w:t xml:space="preserve">” </w:t>
      </w:r>
      <w:r>
        <w:rPr>
          <w:rFonts w:ascii="Times New Roman" w:hAnsi="Times New Roman"/>
          <w:color w:val="000000"/>
          <w:sz w:val="24"/>
        </w:rPr>
        <w:t>means the Bylaws of the Company, as currently in effect.</w:t>
      </w:r>
    </w:p>
    <w:p>
      <w:pPr>
        <w:pStyle w:val="TextBody"/>
        <w:bidi w:val="0"/>
        <w:spacing w:before="0" w:after="240"/>
        <w:jc w:val="both"/>
        <w:rPr/>
      </w:pPr>
      <w:r>
        <w:rPr>
          <w:color w:val="000000"/>
        </w:rPr>
        <w:t>“</w:t>
      </w:r>
      <w:r>
        <w:rPr>
          <w:rFonts w:ascii="Times New Roman" w:hAnsi="Times New Roman"/>
          <w:b/>
          <w:color w:val="000000"/>
          <w:sz w:val="24"/>
        </w:rPr>
        <w:t>Amended and Restated Certificate of Incorporation</w:t>
      </w:r>
      <w:r>
        <w:rPr>
          <w:rFonts w:ascii="Times New Roman" w:hAnsi="Times New Roman"/>
          <w:color w:val="000000"/>
          <w:sz w:val="20"/>
        </w:rPr>
        <w:t xml:space="preserve">” </w:t>
      </w:r>
      <w:r>
        <w:rPr>
          <w:rFonts w:ascii="Times New Roman" w:hAnsi="Times New Roman"/>
          <w:color w:val="000000"/>
          <w:sz w:val="24"/>
        </w:rPr>
        <w:t>means the Certificate of Incorporation of the Company, as currently in effect.</w:t>
      </w:r>
    </w:p>
    <w:p>
      <w:pPr>
        <w:pStyle w:val="TextBody"/>
        <w:bidi w:val="0"/>
        <w:spacing w:before="0" w:after="240"/>
        <w:jc w:val="both"/>
        <w:rPr/>
      </w:pPr>
      <w:r>
        <w:rPr>
          <w:color w:val="000000"/>
        </w:rPr>
        <w:t>“</w:t>
      </w:r>
      <w:r>
        <w:rPr>
          <w:rFonts w:ascii="Times New Roman" w:hAnsi="Times New Roman"/>
          <w:b/>
          <w:color w:val="000000"/>
          <w:sz w:val="24"/>
        </w:rPr>
        <w:t>Benefit Plan</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b/>
          <w:color w:val="000000"/>
          <w:sz w:val="24"/>
        </w:rPr>
        <w:t>Benefit Plans</w:t>
      </w:r>
      <w:r>
        <w:rPr>
          <w:rFonts w:ascii="Times New Roman" w:hAnsi="Times New Roman"/>
          <w:color w:val="000000"/>
          <w:sz w:val="20"/>
        </w:rPr>
        <w:t xml:space="preserve">” </w:t>
      </w:r>
      <w:r>
        <w:rPr>
          <w:rFonts w:ascii="Times New Roman" w:hAnsi="Times New Roman"/>
          <w:color w:val="000000"/>
          <w:sz w:val="24"/>
        </w:rPr>
        <w:t>means employee benefit plans as defined in Section 3(3) of ERISA and all other employee benefit practices or arrangements, including, without limitation, any such practices or arrangements providing severance pay, sick leave, vacation pay, salary continuation for disability, retirement benefits, deferred compensation, bonus pay, incentive pay, stock options or other stock-based compensation, hospitalization insurance, medical insurance, life insurance, scholarships or tuition reimbursements, maintained by the Company or to which the Company or any of its subsidiaries is obligated to contribute for employees or former employees of the Company and its subsidiaries.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rPr>
        <w:t>Board of Directors</w:t>
      </w:r>
      <w:r>
        <w:rPr>
          <w:rFonts w:ascii="Times New Roman" w:hAnsi="Times New Roman"/>
          <w:color w:val="000000"/>
          <w:sz w:val="20"/>
        </w:rPr>
        <w:t xml:space="preserve">” </w:t>
      </w:r>
      <w:r>
        <w:rPr>
          <w:rFonts w:ascii="Times New Roman" w:hAnsi="Times New Roman"/>
          <w:color w:val="000000"/>
          <w:sz w:val="24"/>
        </w:rPr>
        <w:t>means the board of directors of the Company.</w:t>
      </w:r>
    </w:p>
    <w:p>
      <w:pPr>
        <w:pStyle w:val="TextBody"/>
        <w:bidi w:val="0"/>
        <w:spacing w:before="0" w:after="240"/>
        <w:jc w:val="both"/>
        <w:rPr/>
      </w:pPr>
      <w:r>
        <w:rPr>
          <w:color w:val="000000"/>
        </w:rPr>
        <w:t>“</w:t>
      </w:r>
      <w:r>
        <w:rPr>
          <w:rFonts w:ascii="Times New Roman" w:hAnsi="Times New Roman"/>
          <w:b/>
          <w:color w:val="000000"/>
          <w:sz w:val="24"/>
        </w:rPr>
        <w:t>Business Day</w:t>
      </w:r>
      <w:r>
        <w:rPr>
          <w:rFonts w:ascii="Times New Roman" w:hAnsi="Times New Roman"/>
          <w:color w:val="000000"/>
          <w:sz w:val="20"/>
        </w:rPr>
        <w:t xml:space="preserve">” </w:t>
      </w:r>
      <w:r>
        <w:rPr>
          <w:rFonts w:ascii="Times New Roman" w:hAnsi="Times New Roman"/>
          <w:color w:val="000000"/>
          <w:sz w:val="24"/>
        </w:rPr>
        <w:t>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240"/>
        <w:jc w:val="both"/>
        <w:rPr/>
      </w:pPr>
      <w:r>
        <w:rPr>
          <w:color w:val="000000"/>
        </w:rPr>
        <w:t>“</w:t>
      </w:r>
      <w:r>
        <w:rPr>
          <w:rFonts w:ascii="Times New Roman" w:hAnsi="Times New Roman"/>
          <w:b/>
          <w:color w:val="000000"/>
          <w:sz w:val="24"/>
        </w:rPr>
        <w:t>Closing</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2.2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Closing Date</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2.2</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4"/>
        </w:rPr>
        <w:t>Code</w:t>
      </w:r>
      <w:r>
        <w:rPr>
          <w:rFonts w:ascii="Times New Roman" w:hAnsi="Times New Roman"/>
          <w:color w:val="000000"/>
          <w:sz w:val="20"/>
        </w:rPr>
        <w:t xml:space="preserve">” </w:t>
      </w:r>
      <w:r>
        <w:rPr>
          <w:rFonts w:ascii="Times New Roman" w:hAnsi="Times New Roman"/>
          <w:color w:val="000000"/>
          <w:sz w:val="24"/>
        </w:rPr>
        <w:t>means the U.S. Internal Revenue Code of 1986, as amended.</w:t>
      </w:r>
    </w:p>
    <w:p>
      <w:pPr>
        <w:pStyle w:val="TextBody"/>
        <w:bidi w:val="0"/>
        <w:spacing w:before="0" w:after="240"/>
        <w:jc w:val="both"/>
        <w:rPr/>
      </w:pPr>
      <w:r>
        <w:rPr>
          <w:color w:val="000000"/>
        </w:rPr>
        <w:t>“</w:t>
      </w:r>
      <w:r>
        <w:rPr>
          <w:rFonts w:ascii="Times New Roman" w:hAnsi="Times New Roman"/>
          <w:b/>
          <w:color w:val="000000"/>
          <w:sz w:val="24"/>
        </w:rPr>
        <w:t>Common Stock</w:t>
      </w:r>
      <w:r>
        <w:rPr>
          <w:rFonts w:ascii="Times New Roman" w:hAnsi="Times New Roman"/>
          <w:color w:val="000000"/>
          <w:sz w:val="20"/>
        </w:rPr>
        <w:t xml:space="preserve">” </w:t>
      </w:r>
      <w:r>
        <w:rPr>
          <w:rFonts w:ascii="Times New Roman" w:hAnsi="Times New Roman"/>
          <w:color w:val="000000"/>
          <w:sz w:val="24"/>
        </w:rPr>
        <w:t>means the Company’s common stock, par value $0.0001 per share.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4"/>
        </w:rPr>
        <w:t>Common Stock Equivalents</w:t>
      </w:r>
      <w:r>
        <w:rPr>
          <w:rFonts w:ascii="Times New Roman" w:hAnsi="Times New Roman"/>
          <w:color w:val="000000"/>
          <w:sz w:val="20"/>
        </w:rPr>
        <w:t xml:space="preserve">” </w:t>
      </w:r>
      <w:r>
        <w:rPr>
          <w:rFonts w:ascii="Times New Roman" w:hAnsi="Times New Roman"/>
          <w:color w:val="000000"/>
          <w:sz w:val="24"/>
        </w:rPr>
        <w:t>means any securities of the Company that would entitle the holder thereof to acquire at any time Common Stock, including, without limitation, any debt, preferred stock, rights, options, warrants or other instrument that is at any time convertible into or exchangeable for, or otherwise entitles the holder thereof to receive, Common Stock.</w:t>
      </w:r>
    </w:p>
    <w:p>
      <w:pPr>
        <w:pStyle w:val="TextBody"/>
        <w:bidi w:val="0"/>
        <w:spacing w:before="0" w:after="240"/>
        <w:jc w:val="both"/>
        <w:rPr/>
      </w:pPr>
      <w:r>
        <w:rPr>
          <w:color w:val="000000"/>
        </w:rPr>
        <w:t>“</w:t>
      </w:r>
      <w:r>
        <w:rPr>
          <w:rFonts w:ascii="Times New Roman" w:hAnsi="Times New Roman"/>
          <w:b/>
          <w:color w:val="000000"/>
          <w:sz w:val="24"/>
        </w:rPr>
        <w:t>Company</w:t>
      </w:r>
      <w:r>
        <w:rPr>
          <w:rFonts w:ascii="Times New Roman" w:hAnsi="Times New Roman"/>
          <w:color w:val="000000"/>
          <w:sz w:val="20"/>
        </w:rPr>
        <w:t xml:space="preserve">” </w:t>
      </w:r>
      <w:r>
        <w:rPr>
          <w:rFonts w:ascii="Times New Roman" w:hAnsi="Times New Roman"/>
          <w:color w:val="000000"/>
          <w:sz w:val="24"/>
        </w:rPr>
        <w:t>has the meaning set forth in the recitals.</w:t>
      </w:r>
    </w:p>
    <w:p>
      <w:pPr>
        <w:pStyle w:val="TextBody"/>
        <w:bidi w:val="0"/>
        <w:spacing w:before="0" w:after="240"/>
        <w:jc w:val="both"/>
        <w:rPr/>
      </w:pPr>
      <w:r>
        <w:rPr>
          <w:color w:val="000000"/>
        </w:rPr>
        <w:t>“</w:t>
      </w:r>
      <w:r>
        <w:rPr>
          <w:rFonts w:ascii="Times New Roman" w:hAnsi="Times New Roman"/>
          <w:b/>
          <w:color w:val="000000"/>
          <w:sz w:val="24"/>
        </w:rPr>
        <w:t>Confidential Data</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3.30</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Disclosure Document</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5.3</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Drug Regulatory Agency</w:t>
      </w:r>
      <w:r>
        <w:rPr>
          <w:rFonts w:ascii="Times New Roman" w:hAnsi="Times New Roman"/>
          <w:color w:val="000000"/>
          <w:sz w:val="20"/>
        </w:rPr>
        <w:t xml:space="preserve">” </w:t>
      </w:r>
      <w:r>
        <w:rPr>
          <w:rFonts w:ascii="Times New Roman" w:hAnsi="Times New Roman"/>
          <w:color w:val="000000"/>
          <w:sz w:val="24"/>
        </w:rPr>
        <w:t>means the U.S. Food and Drug Administration (“</w:t>
      </w:r>
      <w:r>
        <w:rPr>
          <w:rFonts w:ascii="Times New Roman" w:hAnsi="Times New Roman"/>
          <w:b/>
          <w:color w:val="000000"/>
          <w:sz w:val="24"/>
        </w:rPr>
        <w:t>FDA</w:t>
      </w:r>
      <w:r>
        <w:rPr>
          <w:rFonts w:ascii="Times New Roman" w:hAnsi="Times New Roman"/>
          <w:color w:val="000000"/>
          <w:sz w:val="20"/>
        </w:rPr>
        <w:t>”</w:t>
      </w:r>
      <w:r>
        <w:rPr>
          <w:rFonts w:ascii="Times New Roman" w:hAnsi="Times New Roman"/>
          <w:color w:val="000000"/>
          <w:sz w:val="24"/>
        </w:rPr>
        <w:t>) or other foreign, state, local or comparable governmental authority responsible for regulation of the research, development, testing, manufacturing, processing, storage, labeling, sale, marketing, advertising, distribution and importation or exportation of drug or biological products and drug or biological product candidates.</w:t>
      </w:r>
    </w:p>
    <w:p>
      <w:pPr>
        <w:pStyle w:val="TextBody"/>
        <w:bidi w:val="0"/>
        <w:spacing w:before="0" w:after="240"/>
        <w:jc w:val="both"/>
        <w:rPr/>
      </w:pPr>
      <w:r>
        <w:rPr>
          <w:color w:val="000000"/>
        </w:rPr>
        <w:t>“</w:t>
      </w:r>
      <w:r>
        <w:rPr>
          <w:rFonts w:ascii="Times New Roman" w:hAnsi="Times New Roman"/>
          <w:b/>
          <w:color w:val="000000"/>
          <w:sz w:val="24"/>
        </w:rPr>
        <w:t>Environmental Laws</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3.15</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ERISA</w:t>
      </w:r>
      <w:r>
        <w:rPr>
          <w:rFonts w:ascii="Times New Roman" w:hAnsi="Times New Roman"/>
          <w:color w:val="000000"/>
          <w:sz w:val="20"/>
        </w:rPr>
        <w:t xml:space="preserve">” </w:t>
      </w:r>
      <w:r>
        <w:rPr>
          <w:rFonts w:ascii="Times New Roman" w:hAnsi="Times New Roman"/>
          <w:color w:val="000000"/>
          <w:sz w:val="24"/>
        </w:rPr>
        <w:t>means the U.S. Employee Retirement Income Security Act of 1974, as amended.</w:t>
      </w:r>
    </w:p>
    <w:p>
      <w:pPr>
        <w:pStyle w:val="TextBody"/>
        <w:bidi w:val="0"/>
        <w:spacing w:before="0" w:after="240"/>
        <w:jc w:val="both"/>
        <w:rPr/>
      </w:pPr>
      <w:r>
        <w:rPr>
          <w:color w:val="000000"/>
        </w:rPr>
        <w:t>“</w:t>
      </w:r>
      <w:r>
        <w:rPr>
          <w:rFonts w:ascii="Times New Roman" w:hAnsi="Times New Roman"/>
          <w:b/>
          <w:color w:val="000000"/>
          <w:sz w:val="24"/>
        </w:rPr>
        <w:t>Exchange Act</w:t>
      </w:r>
      <w:r>
        <w:rPr>
          <w:rFonts w:ascii="Times New Roman" w:hAnsi="Times New Roman"/>
          <w:color w:val="000000"/>
          <w:sz w:val="20"/>
        </w:rPr>
        <w:t xml:space="preserve">” </w:t>
      </w:r>
      <w:r>
        <w:rPr>
          <w:rFonts w:ascii="Times New Roman" w:hAnsi="Times New Roman"/>
          <w:color w:val="000000"/>
          <w:sz w:val="24"/>
        </w:rPr>
        <w:t>means the U.S. Securities Exchange Act of 1934, as amended, and all of the rules and regulations promulgated thereunder.</w:t>
      </w:r>
    </w:p>
    <w:p>
      <w:pPr>
        <w:pStyle w:val="TextBody"/>
        <w:bidi w:val="0"/>
        <w:spacing w:before="0" w:after="240"/>
        <w:jc w:val="both"/>
        <w:rPr/>
      </w:pPr>
      <w:r>
        <w:rPr>
          <w:color w:val="000000"/>
        </w:rPr>
        <w:t>“</w:t>
      </w:r>
      <w:r>
        <w:rPr>
          <w:rFonts w:ascii="Times New Roman" w:hAnsi="Times New Roman"/>
          <w:b/>
          <w:color w:val="000000"/>
          <w:sz w:val="24"/>
        </w:rPr>
        <w:t>Financial Statements</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3.8(b)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 xml:space="preserve">Fundamental Representations” </w:t>
      </w:r>
      <w:r>
        <w:rPr>
          <w:rFonts w:ascii="Times New Roman" w:hAnsi="Times New Roman"/>
          <w:color w:val="000000"/>
          <w:sz w:val="24"/>
        </w:rPr>
        <w:t xml:space="preserve">means the representations and warranties made by the Company in </w:t>
      </w:r>
      <w:r>
        <w:rPr>
          <w:rFonts w:ascii="Times New Roman" w:hAnsi="Times New Roman"/>
          <w:color w:val="000000"/>
          <w:sz w:val="24"/>
          <w:u w:val="single"/>
        </w:rPr>
        <w:t>Sections 3.1 (Organization and Power)</w:t>
      </w:r>
      <w:r>
        <w:rPr>
          <w:rFonts w:ascii="Times New Roman" w:hAnsi="Times New Roman"/>
          <w:color w:val="000000"/>
          <w:sz w:val="24"/>
        </w:rPr>
        <w:t xml:space="preserve">, </w:t>
      </w:r>
      <w:r>
        <w:rPr>
          <w:rFonts w:ascii="Times New Roman" w:hAnsi="Times New Roman"/>
          <w:color w:val="000000"/>
          <w:sz w:val="24"/>
          <w:u w:val="single"/>
        </w:rPr>
        <w:t>3.2 (Capitalization)</w:t>
      </w:r>
      <w:r>
        <w:rPr>
          <w:rFonts w:ascii="Times New Roman" w:hAnsi="Times New Roman"/>
          <w:color w:val="000000"/>
          <w:sz w:val="24"/>
        </w:rPr>
        <w:t xml:space="preserve">, </w:t>
      </w:r>
      <w:r>
        <w:rPr>
          <w:rFonts w:ascii="Times New Roman" w:hAnsi="Times New Roman"/>
          <w:color w:val="000000"/>
          <w:sz w:val="24"/>
          <w:u w:val="single"/>
        </w:rPr>
        <w:t>3.4 (Authorization)</w:t>
      </w:r>
      <w:r>
        <w:rPr>
          <w:rFonts w:ascii="Times New Roman" w:hAnsi="Times New Roman"/>
          <w:color w:val="000000"/>
          <w:sz w:val="24"/>
        </w:rPr>
        <w:t xml:space="preserve">, </w:t>
      </w:r>
      <w:r>
        <w:rPr>
          <w:rFonts w:ascii="Times New Roman" w:hAnsi="Times New Roman"/>
          <w:color w:val="000000"/>
          <w:sz w:val="24"/>
          <w:u w:val="single"/>
        </w:rPr>
        <w:t>3.5 (Valid Issuance)</w:t>
      </w:r>
      <w:r>
        <w:rPr>
          <w:rFonts w:ascii="Times New Roman" w:hAnsi="Times New Roman"/>
          <w:color w:val="000000"/>
          <w:sz w:val="24"/>
        </w:rPr>
        <w:t xml:space="preserve">, </w:t>
      </w:r>
      <w:r>
        <w:rPr>
          <w:rFonts w:ascii="Times New Roman" w:hAnsi="Times New Roman"/>
          <w:color w:val="000000"/>
          <w:sz w:val="24"/>
          <w:u w:val="single"/>
        </w:rPr>
        <w:t>3.6 (No Conflict)</w:t>
      </w:r>
      <w:r>
        <w:rPr>
          <w:rFonts w:ascii="Times New Roman" w:hAnsi="Times New Roman"/>
          <w:color w:val="000000"/>
          <w:sz w:val="24"/>
        </w:rPr>
        <w:t xml:space="preserve">, </w:t>
      </w:r>
      <w:r>
        <w:rPr>
          <w:rFonts w:ascii="Times New Roman" w:hAnsi="Times New Roman"/>
          <w:color w:val="000000"/>
          <w:sz w:val="24"/>
          <w:u w:val="single"/>
        </w:rPr>
        <w:t>3.7 (Consents)</w:t>
      </w:r>
      <w:r>
        <w:rPr>
          <w:rFonts w:ascii="Times New Roman" w:hAnsi="Times New Roman"/>
          <w:color w:val="000000"/>
          <w:sz w:val="24"/>
        </w:rPr>
        <w:t xml:space="preserve">, </w:t>
      </w:r>
      <w:r>
        <w:rPr>
          <w:rFonts w:ascii="Times New Roman" w:hAnsi="Times New Roman"/>
          <w:color w:val="000000"/>
          <w:sz w:val="24"/>
          <w:u w:val="single"/>
        </w:rPr>
        <w:t>3.8 (SEC Filings; Financial Statements)</w:t>
      </w:r>
      <w:r>
        <w:rPr>
          <w:rFonts w:ascii="Times New Roman" w:hAnsi="Times New Roman"/>
          <w:color w:val="000000"/>
          <w:sz w:val="24"/>
        </w:rPr>
        <w:t xml:space="preserve">, </w:t>
      </w:r>
      <w:r>
        <w:rPr>
          <w:rFonts w:ascii="Times New Roman" w:hAnsi="Times New Roman"/>
          <w:color w:val="000000"/>
          <w:sz w:val="24"/>
          <w:u w:val="single"/>
        </w:rPr>
        <w:t>3.18 (Nasdaq Stock Market)</w:t>
      </w:r>
      <w:r>
        <w:rPr>
          <w:rFonts w:ascii="Times New Roman" w:hAnsi="Times New Roman"/>
          <w:color w:val="000000"/>
          <w:sz w:val="24"/>
        </w:rPr>
        <w:t xml:space="preserve">, </w:t>
      </w:r>
      <w:r>
        <w:rPr>
          <w:rFonts w:ascii="Times New Roman" w:hAnsi="Times New Roman"/>
          <w:color w:val="000000"/>
          <w:sz w:val="24"/>
          <w:u w:val="single"/>
        </w:rPr>
        <w:t>3.19 (Sarbanes-Oxley Act)</w:t>
      </w:r>
      <w:r>
        <w:rPr>
          <w:rFonts w:ascii="Times New Roman" w:hAnsi="Times New Roman"/>
          <w:color w:val="000000"/>
          <w:sz w:val="24"/>
        </w:rPr>
        <w:t xml:space="preserve">, </w:t>
      </w:r>
      <w:r>
        <w:rPr>
          <w:rFonts w:ascii="Times New Roman" w:hAnsi="Times New Roman"/>
          <w:color w:val="000000"/>
          <w:sz w:val="24"/>
          <w:u w:val="single"/>
        </w:rPr>
        <w:t>3.23 (Price Stabilization of Common Stock)</w:t>
      </w:r>
      <w:r>
        <w:rPr>
          <w:rFonts w:ascii="Times New Roman" w:hAnsi="Times New Roman"/>
          <w:color w:val="000000"/>
          <w:sz w:val="24"/>
        </w:rPr>
        <w:t xml:space="preserve">, </w:t>
      </w:r>
      <w:r>
        <w:rPr>
          <w:rFonts w:ascii="Times New Roman" w:hAnsi="Times New Roman"/>
          <w:color w:val="000000"/>
          <w:sz w:val="24"/>
          <w:u w:val="single"/>
        </w:rPr>
        <w:t>3.24 (Investment Company Act)</w:t>
      </w:r>
      <w:r>
        <w:rPr>
          <w:rFonts w:ascii="Times New Roman" w:hAnsi="Times New Roman"/>
          <w:color w:val="000000"/>
          <w:sz w:val="24"/>
        </w:rPr>
        <w:t xml:space="preserve">, </w:t>
      </w:r>
      <w:r>
        <w:rPr>
          <w:rFonts w:ascii="Times New Roman" w:hAnsi="Times New Roman"/>
          <w:color w:val="000000"/>
          <w:sz w:val="24"/>
          <w:u w:val="single"/>
        </w:rPr>
        <w:t>3.25 (General Solicitation; No Integration or Aggregation)</w:t>
      </w:r>
      <w:r>
        <w:rPr>
          <w:rFonts w:ascii="Times New Roman" w:hAnsi="Times New Roman"/>
          <w:color w:val="000000"/>
          <w:sz w:val="24"/>
        </w:rPr>
        <w:t xml:space="preserve">, </w:t>
      </w:r>
      <w:r>
        <w:rPr>
          <w:rFonts w:ascii="Times New Roman" w:hAnsi="Times New Roman"/>
          <w:color w:val="000000"/>
          <w:sz w:val="24"/>
          <w:u w:val="single"/>
        </w:rPr>
        <w:t>3.26 (Brokers and Finders)</w:t>
      </w:r>
      <w:r>
        <w:rPr>
          <w:rFonts w:ascii="Times New Roman" w:hAnsi="Times New Roman"/>
          <w:color w:val="000000"/>
          <w:sz w:val="24"/>
        </w:rPr>
        <w:t xml:space="preserve">, </w:t>
      </w:r>
      <w:r>
        <w:rPr>
          <w:rFonts w:ascii="Times New Roman" w:hAnsi="Times New Roman"/>
          <w:color w:val="000000"/>
          <w:sz w:val="24"/>
          <w:u w:val="single"/>
        </w:rPr>
        <w:t>3.27 (Reliance by the Investors)</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3.28 (No Additional Agreements)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4"/>
        </w:rPr>
        <w:t>GAAP</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3.8(b)</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rPr>
        <w:t>GDPR</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3.31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Governmental Authorizations</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3.11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HIPAA</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3.21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 xml:space="preserve">Indemnified Person” </w:t>
      </w:r>
      <w:r>
        <w:rPr>
          <w:rFonts w:ascii="Times New Roman" w:hAnsi="Times New Roman"/>
          <w:color w:val="000000"/>
          <w:sz w:val="24"/>
        </w:rPr>
        <w:t xml:space="preserve">has the meaning set forth in </w:t>
      </w:r>
      <w:r>
        <w:rPr>
          <w:rFonts w:ascii="Times New Roman" w:hAnsi="Times New Roman"/>
          <w:color w:val="000000"/>
          <w:sz w:val="24"/>
          <w:u w:val="single"/>
        </w:rPr>
        <w:t>Section 5.9</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Investor</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b/>
          <w:color w:val="000000"/>
          <w:sz w:val="24"/>
        </w:rPr>
        <w:t>Investors</w:t>
      </w:r>
      <w:r>
        <w:rPr>
          <w:rFonts w:ascii="Times New Roman" w:hAnsi="Times New Roman"/>
          <w:color w:val="000000"/>
          <w:sz w:val="20"/>
        </w:rPr>
        <w:t xml:space="preserve">” </w:t>
      </w:r>
      <w:r>
        <w:rPr>
          <w:rFonts w:ascii="Times New Roman" w:hAnsi="Times New Roman"/>
          <w:color w:val="000000"/>
          <w:sz w:val="24"/>
        </w:rPr>
        <w:t>have the meanings set forth in the recitals.</w:t>
      </w:r>
    </w:p>
    <w:p>
      <w:pPr>
        <w:pStyle w:val="TextBody"/>
        <w:bidi w:val="0"/>
        <w:spacing w:before="0" w:after="240"/>
        <w:jc w:val="both"/>
        <w:rPr/>
      </w:pPr>
      <w:r>
        <w:rPr>
          <w:color w:val="000000"/>
        </w:rPr>
        <w:t>“</w:t>
      </w:r>
      <w:r>
        <w:rPr>
          <w:rFonts w:ascii="Times New Roman" w:hAnsi="Times New Roman"/>
          <w:b/>
          <w:color w:val="000000"/>
          <w:sz w:val="24"/>
        </w:rPr>
        <w:t>IT Systems</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3.30</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Licenses</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3.21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Lock-up Period</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5.10</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4"/>
        </w:rPr>
        <w:t>Material Adverse Effect</w:t>
      </w:r>
      <w:r>
        <w:rPr>
          <w:rFonts w:ascii="Times New Roman" w:hAnsi="Times New Roman"/>
          <w:color w:val="000000"/>
          <w:sz w:val="20"/>
        </w:rPr>
        <w:t xml:space="preserve">” </w:t>
      </w:r>
      <w:r>
        <w:rPr>
          <w:rFonts w:ascii="Times New Roman" w:hAnsi="Times New Roman"/>
          <w:color w:val="000000"/>
          <w:sz w:val="24"/>
        </w:rPr>
        <w:t>means any change, event, circumstance, development, condition, occurrence or effect that, individually or in the aggregate, (a) was, is, or would reasonably be expected to be, materially adverse to the business, financial condition, properties, assets, liabilities, stockholders’ equity or results of operations of the Company and its subsidiaries, taken as a whole, or (b) materially delays or materially impairs the ability of the Company to comply, or prevents the Company from complying, with its obligations under this Agreement, the other Transaction Agreements, or with respect to the Closing, or would reasonably be expected to do so.</w:t>
      </w:r>
    </w:p>
    <w:p>
      <w:pPr>
        <w:pStyle w:val="TextBody"/>
        <w:bidi w:val="0"/>
        <w:spacing w:before="0" w:after="240"/>
        <w:jc w:val="both"/>
        <w:rPr/>
      </w:pPr>
      <w:r>
        <w:rPr>
          <w:color w:val="000000"/>
        </w:rPr>
        <w:t>“</w:t>
      </w:r>
      <w:r>
        <w:rPr>
          <w:rFonts w:ascii="Times New Roman" w:hAnsi="Times New Roman"/>
          <w:b/>
          <w:color w:val="000000"/>
          <w:sz w:val="24"/>
        </w:rPr>
        <w:t>Nasdaq</w:t>
      </w:r>
      <w:r>
        <w:rPr>
          <w:rFonts w:ascii="Times New Roman" w:hAnsi="Times New Roman"/>
          <w:color w:val="000000"/>
          <w:sz w:val="20"/>
        </w:rPr>
        <w:t xml:space="preserve">” </w:t>
      </w:r>
      <w:r>
        <w:rPr>
          <w:rFonts w:ascii="Times New Roman" w:hAnsi="Times New Roman"/>
          <w:color w:val="000000"/>
          <w:sz w:val="24"/>
        </w:rPr>
        <w:t>means the Nasdaq Stock Market LLC.</w:t>
      </w:r>
    </w:p>
    <w:p>
      <w:pPr>
        <w:pStyle w:val="TextBody"/>
        <w:bidi w:val="0"/>
        <w:spacing w:before="0" w:after="240"/>
        <w:jc w:val="both"/>
        <w:rPr/>
      </w:pPr>
      <w:r>
        <w:rPr>
          <w:color w:val="000000"/>
        </w:rPr>
        <w:t>“</w:t>
      </w:r>
      <w:r>
        <w:rPr>
          <w:rFonts w:ascii="Times New Roman" w:hAnsi="Times New Roman"/>
          <w:b/>
          <w:color w:val="000000"/>
          <w:sz w:val="24"/>
        </w:rPr>
        <w:t>National Exchange</w:t>
      </w:r>
      <w:r>
        <w:rPr>
          <w:rFonts w:ascii="Times New Roman" w:hAnsi="Times New Roman"/>
          <w:color w:val="000000"/>
          <w:sz w:val="20"/>
        </w:rPr>
        <w:t xml:space="preserve">” </w:t>
      </w:r>
      <w:r>
        <w:rPr>
          <w:rFonts w:ascii="Times New Roman" w:hAnsi="Times New Roman"/>
          <w:color w:val="000000"/>
          <w:sz w:val="24"/>
        </w:rPr>
        <w:t>means any of the following markets or exchanges on which the Common Stock is listed or quoted for trading on the date in question, together with any successor thereto: the NYSE American, The New York Stock Exchange, the Nasdaq Global Market, the Nasdaq Global Select Market and the Nasdaq Capital Market.</w:t>
      </w:r>
    </w:p>
    <w:p>
      <w:pPr>
        <w:pStyle w:val="TextBody"/>
        <w:bidi w:val="0"/>
        <w:spacing w:before="0" w:after="240"/>
        <w:jc w:val="both"/>
        <w:rPr/>
      </w:pPr>
      <w:r>
        <w:rPr>
          <w:color w:val="000000"/>
        </w:rPr>
        <w:t>“</w:t>
      </w:r>
      <w:r>
        <w:rPr>
          <w:rFonts w:ascii="Times New Roman" w:hAnsi="Times New Roman"/>
          <w:b/>
          <w:color w:val="000000"/>
          <w:sz w:val="24"/>
        </w:rPr>
        <w:t>Person</w:t>
      </w:r>
      <w:r>
        <w:rPr>
          <w:rFonts w:ascii="Times New Roman" w:hAnsi="Times New Roman"/>
          <w:color w:val="000000"/>
          <w:sz w:val="20"/>
        </w:rPr>
        <w:t xml:space="preserve">” </w:t>
      </w:r>
      <w:r>
        <w:rPr>
          <w:rFonts w:ascii="Times New Roman" w:hAnsi="Times New Roman"/>
          <w:color w:val="000000"/>
          <w:sz w:val="24"/>
        </w:rPr>
        <w:t>means an individual, partnership, corporation, limited liability company, business trust, joint stock company, trust, unincorporated association, joint venture or any other entity or organization.</w:t>
      </w:r>
    </w:p>
    <w:p>
      <w:pPr>
        <w:pStyle w:val="TextBody"/>
        <w:bidi w:val="0"/>
        <w:spacing w:before="0" w:after="240"/>
        <w:jc w:val="both"/>
        <w:rPr/>
      </w:pPr>
      <w:r>
        <w:rPr>
          <w:color w:val="000000"/>
        </w:rPr>
        <w:t>“</w:t>
      </w:r>
      <w:r>
        <w:rPr>
          <w:rFonts w:ascii="Times New Roman" w:hAnsi="Times New Roman"/>
          <w:b/>
          <w:color w:val="000000"/>
          <w:sz w:val="24"/>
        </w:rPr>
        <w:t>Personal Data</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3.30</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Privacy Laws</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3.31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Privacy Statements</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3.31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Process</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b/>
          <w:color w:val="000000"/>
          <w:sz w:val="24"/>
        </w:rPr>
        <w:t>Processing</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3.31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Registration Rights Agreement</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6.1(j)</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Rule 144</w:t>
      </w:r>
      <w:r>
        <w:rPr>
          <w:rFonts w:ascii="Times New Roman" w:hAnsi="Times New Roman"/>
          <w:color w:val="000000"/>
          <w:sz w:val="20"/>
        </w:rPr>
        <w:t xml:space="preserve">” </w:t>
      </w:r>
      <w:r>
        <w:rPr>
          <w:rFonts w:ascii="Times New Roman" w:hAnsi="Times New Roman"/>
          <w:color w:val="000000"/>
          <w:sz w:val="24"/>
        </w:rPr>
        <w:t>means Rule 144 promulgated by the SEC pursuant to the Securities Act, as such Rule may be amended from time to time, or any similar rule or regulation hereafter adopted by the SEC having substantially the same effect as such Rule.</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rPr>
        <w:t>SEC</w:t>
      </w:r>
      <w:r>
        <w:rPr>
          <w:rFonts w:ascii="Times New Roman" w:hAnsi="Times New Roman"/>
          <w:color w:val="000000"/>
          <w:sz w:val="20"/>
        </w:rPr>
        <w:t xml:space="preserve">” </w:t>
      </w:r>
      <w:r>
        <w:rPr>
          <w:rFonts w:ascii="Times New Roman" w:hAnsi="Times New Roman"/>
          <w:color w:val="000000"/>
          <w:sz w:val="24"/>
        </w:rPr>
        <w:t>means the U.S. Securities and Exchange Commission.</w:t>
      </w:r>
    </w:p>
    <w:p>
      <w:pPr>
        <w:pStyle w:val="TextBody"/>
        <w:bidi w:val="0"/>
        <w:spacing w:before="0" w:after="240"/>
        <w:jc w:val="both"/>
        <w:rPr/>
      </w:pPr>
      <w:r>
        <w:rPr>
          <w:color w:val="000000"/>
        </w:rPr>
        <w:t>“</w:t>
      </w:r>
      <w:r>
        <w:rPr>
          <w:rFonts w:ascii="Times New Roman" w:hAnsi="Times New Roman"/>
          <w:b/>
          <w:color w:val="000000"/>
          <w:sz w:val="24"/>
        </w:rPr>
        <w:t>SEC Reports</w:t>
      </w:r>
      <w:r>
        <w:rPr>
          <w:rFonts w:ascii="Times New Roman" w:hAnsi="Times New Roman"/>
          <w:color w:val="000000"/>
          <w:sz w:val="20"/>
        </w:rPr>
        <w:t xml:space="preserve">” </w:t>
      </w:r>
      <w:r>
        <w:rPr>
          <w:rFonts w:ascii="Times New Roman" w:hAnsi="Times New Roman"/>
          <w:color w:val="000000"/>
          <w:sz w:val="24"/>
        </w:rPr>
        <w:t>means (a) the Company’s most recently filed Annual Report on Form 10-K and (b) all Quarterly Reports on Form 10-Q or Current Reports on Form 8-K filed or furnished (as applicable) by the Company following the end of the most recent fiscal year for which an Annual Report on Form 10-K has been filed and prior to the execution of this Agreement, together in each case with any documents incorporated by reference therein or exhibits thereto.</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4"/>
        </w:rPr>
        <w:t>Securities Act</w:t>
      </w:r>
      <w:r>
        <w:rPr>
          <w:rFonts w:ascii="Times New Roman" w:hAnsi="Times New Roman"/>
          <w:color w:val="000000"/>
          <w:sz w:val="20"/>
        </w:rPr>
        <w:t xml:space="preserve">” </w:t>
      </w:r>
      <w:r>
        <w:rPr>
          <w:rFonts w:ascii="Times New Roman" w:hAnsi="Times New Roman"/>
          <w:color w:val="000000"/>
          <w:sz w:val="24"/>
        </w:rPr>
        <w:t>means the U.S. Securities Act of 1933, as amended, and all of the rules and regulations promulgated thereunder.</w:t>
      </w:r>
    </w:p>
    <w:p>
      <w:pPr>
        <w:pStyle w:val="TextBody"/>
        <w:bidi w:val="0"/>
        <w:spacing w:before="0" w:after="240"/>
        <w:jc w:val="both"/>
        <w:rPr/>
      </w:pPr>
      <w:r>
        <w:rPr>
          <w:color w:val="000000"/>
        </w:rPr>
        <w:t>“</w:t>
      </w:r>
      <w:r>
        <w:rPr>
          <w:rFonts w:ascii="Times New Roman" w:hAnsi="Times New Roman"/>
          <w:b/>
          <w:color w:val="000000"/>
          <w:sz w:val="24"/>
        </w:rPr>
        <w:t>Shares</w:t>
      </w:r>
      <w:r>
        <w:rPr>
          <w:rFonts w:ascii="Times New Roman" w:hAnsi="Times New Roman"/>
          <w:color w:val="000000"/>
          <w:sz w:val="20"/>
        </w:rPr>
        <w:t xml:space="preserve">” </w:t>
      </w:r>
      <w:r>
        <w:rPr>
          <w:rFonts w:ascii="Times New Roman" w:hAnsi="Times New Roman"/>
          <w:color w:val="000000"/>
          <w:sz w:val="24"/>
        </w:rPr>
        <w:t>has the meaning set forth in the recitals.</w:t>
      </w:r>
    </w:p>
    <w:p>
      <w:pPr>
        <w:pStyle w:val="TextBody"/>
        <w:bidi w:val="0"/>
        <w:spacing w:before="0" w:after="240"/>
        <w:jc w:val="both"/>
        <w:rPr/>
      </w:pPr>
      <w:r>
        <w:rPr>
          <w:color w:val="000000"/>
        </w:rPr>
        <w:t>“</w:t>
      </w:r>
      <w:r>
        <w:rPr>
          <w:rFonts w:ascii="Times New Roman" w:hAnsi="Times New Roman"/>
          <w:b/>
          <w:color w:val="000000"/>
          <w:sz w:val="24"/>
        </w:rPr>
        <w:t>Short Sales</w:t>
      </w:r>
      <w:r>
        <w:rPr>
          <w:rFonts w:ascii="Times New Roman" w:hAnsi="Times New Roman"/>
          <w:color w:val="000000"/>
          <w:sz w:val="20"/>
        </w:rPr>
        <w:t xml:space="preserve">” </w:t>
      </w:r>
      <w:r>
        <w:rPr>
          <w:rFonts w:ascii="Times New Roman" w:hAnsi="Times New Roman"/>
          <w:color w:val="000000"/>
          <w:sz w:val="24"/>
        </w:rPr>
        <w:t>include, without limitation, (a)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(b) sales and other transactions through non-U.S. broker dealers or non-U.S. regulated brokers (but shall not be deemed to include the location and/or reservation of borrowable shares of Common Stock).</w:t>
      </w:r>
    </w:p>
    <w:p>
      <w:pPr>
        <w:pStyle w:val="TextBody"/>
        <w:bidi w:val="0"/>
        <w:spacing w:before="0" w:after="240"/>
        <w:jc w:val="both"/>
        <w:rPr/>
      </w:pPr>
      <w:r>
        <w:rPr>
          <w:color w:val="000000"/>
        </w:rPr>
        <w:t>“</w:t>
      </w:r>
      <w:r>
        <w:rPr>
          <w:rFonts w:ascii="Times New Roman" w:hAnsi="Times New Roman"/>
          <w:b/>
          <w:color w:val="000000"/>
          <w:sz w:val="24"/>
        </w:rPr>
        <w:t>Tax</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b/>
          <w:color w:val="000000"/>
          <w:sz w:val="24"/>
        </w:rPr>
        <w:t>Taxes</w:t>
      </w:r>
      <w:r>
        <w:rPr>
          <w:rFonts w:ascii="Times New Roman" w:hAnsi="Times New Roman"/>
          <w:color w:val="000000"/>
          <w:sz w:val="20"/>
        </w:rPr>
        <w:t xml:space="preserve">” </w:t>
      </w:r>
      <w:r>
        <w:rPr>
          <w:rFonts w:ascii="Times New Roman" w:hAnsi="Times New Roman"/>
          <w:color w:val="000000"/>
          <w:sz w:val="24"/>
        </w:rPr>
        <w:t>means any and all federal, state, local, foreign and other taxes, levies, fees, imposts, duties and charges of whatever kind (including any interest, penalties or additions to the tax imposed in connection therewith or with respect thereto), whether or not imposed on the Company or its subsidiaries, including, without limitation, taxes imposed on, or measured by, income, franchise, profits or gross receipts, and also ad valorem, value added, sales, use, service, real or personal property, capital stock, license, payroll, withholding, employment, social security, workers’ compensation, unemployment compensation, utility, severance, production, excise, stamp, occupation, premium, windfall profits, transfer and gains taxes and customs duties.</w:t>
      </w:r>
    </w:p>
    <w:p>
      <w:pPr>
        <w:pStyle w:val="TextBody"/>
        <w:bidi w:val="0"/>
        <w:spacing w:before="0" w:after="240"/>
        <w:jc w:val="both"/>
        <w:rPr/>
      </w:pPr>
      <w:r>
        <w:rPr>
          <w:color w:val="000000"/>
        </w:rPr>
        <w:t>“</w:t>
      </w:r>
      <w:r>
        <w:rPr>
          <w:rFonts w:ascii="Times New Roman" w:hAnsi="Times New Roman"/>
          <w:b/>
          <w:color w:val="000000"/>
          <w:sz w:val="24"/>
        </w:rPr>
        <w:t>Tax Returns</w:t>
      </w:r>
      <w:r>
        <w:rPr>
          <w:rFonts w:ascii="Times New Roman" w:hAnsi="Times New Roman"/>
          <w:color w:val="000000"/>
          <w:sz w:val="20"/>
        </w:rPr>
        <w:t xml:space="preserve">” </w:t>
      </w:r>
      <w:r>
        <w:rPr>
          <w:rFonts w:ascii="Times New Roman" w:hAnsi="Times New Roman"/>
          <w:color w:val="000000"/>
          <w:sz w:val="24"/>
        </w:rPr>
        <w:t>means returns, reports, information statements and other documentation (including any additional or supporting material) filed or maintained, or required to be filed or maintained, in connection with the calculation, determination, assessment or collection of any Tax and shall include any amended returns required as a result of examination adjustments made by the Internal Revenue Service or other Tax authority.</w:t>
      </w:r>
    </w:p>
    <w:p>
      <w:pPr>
        <w:pStyle w:val="TextBody"/>
        <w:bidi w:val="0"/>
        <w:spacing w:before="0" w:after="240"/>
        <w:jc w:val="both"/>
        <w:rPr/>
      </w:pPr>
      <w:r>
        <w:rPr>
          <w:color w:val="000000"/>
        </w:rPr>
        <w:t>“</w:t>
      </w:r>
      <w:r>
        <w:rPr>
          <w:rFonts w:ascii="Times New Roman" w:hAnsi="Times New Roman"/>
          <w:b/>
          <w:color w:val="000000"/>
          <w:sz w:val="24"/>
        </w:rPr>
        <w:t>Transaction Agreements</w:t>
      </w:r>
      <w:r>
        <w:rPr>
          <w:rFonts w:ascii="Times New Roman" w:hAnsi="Times New Roman"/>
          <w:color w:val="000000"/>
          <w:sz w:val="20"/>
        </w:rPr>
        <w:t xml:space="preserve">” </w:t>
      </w:r>
      <w:r>
        <w:rPr>
          <w:rFonts w:ascii="Times New Roman" w:hAnsi="Times New Roman"/>
          <w:color w:val="000000"/>
          <w:sz w:val="24"/>
        </w:rPr>
        <w:t>means this Agreement and the Registration Rights Agreement.</w:t>
      </w:r>
    </w:p>
    <w:p>
      <w:pPr>
        <w:pStyle w:val="TextBody"/>
        <w:bidi w:val="0"/>
        <w:spacing w:before="0" w:after="240"/>
        <w:jc w:val="both"/>
        <w:rPr/>
      </w:pPr>
      <w:r>
        <w:rPr>
          <w:color w:val="000000"/>
        </w:rPr>
        <w:t>“</w:t>
      </w:r>
      <w:r>
        <w:rPr>
          <w:rFonts w:ascii="Times New Roman" w:hAnsi="Times New Roman"/>
          <w:b/>
          <w:color w:val="000000"/>
          <w:sz w:val="24"/>
        </w:rPr>
        <w:t>Transfer Agent</w:t>
      </w:r>
      <w:r>
        <w:rPr>
          <w:rFonts w:ascii="Times New Roman" w:hAnsi="Times New Roman"/>
          <w:color w:val="000000"/>
          <w:sz w:val="20"/>
        </w:rPr>
        <w:t xml:space="preserve">” </w:t>
      </w:r>
      <w:r>
        <w:rPr>
          <w:rFonts w:ascii="Times New Roman" w:hAnsi="Times New Roman"/>
          <w:color w:val="000000"/>
          <w:sz w:val="24"/>
        </w:rPr>
        <w:t>means, with respect to the Common Stock, Computershare Trust Company, N.A., or such other financial institution that provides transfer agent services as the Company may engage from time to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4"/>
          <w:u w:val="single"/>
        </w:rPr>
        <w:t>Purchase and Sale of Securities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both"/>
        <w:rPr/>
      </w:pPr>
      <w:r>
        <w:rPr>
          <w:rFonts w:ascii="Times New Roman" w:hAnsi="Times New Roman"/>
          <w:color w:val="000000"/>
          <w:sz w:val="24"/>
          <w:u w:val="single"/>
        </w:rPr>
        <w:t>Purchase and Sale</w:t>
      </w:r>
      <w:r>
        <w:rPr>
          <w:rFonts w:ascii="Times New Roman" w:hAnsi="Times New Roman"/>
          <w:color w:val="000000"/>
          <w:sz w:val="24"/>
        </w:rPr>
        <w:t xml:space="preserve">. On the Closing Date, upon the terms and subject to the conditions set forth herein, the Company agrees to sell, and the Investors, severally and not jointly,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agree to purchase, the number of Shares, for the aggregate purchase price, set forth opposite the Investor’s name on </w:t>
      </w:r>
      <w:r>
        <w:rPr>
          <w:rFonts w:ascii="Times New Roman" w:hAnsi="Times New Roman"/>
          <w:color w:val="000000"/>
          <w:sz w:val="24"/>
          <w:u w:val="single"/>
        </w:rPr>
        <w:t>Exhibit A</w:t>
      </w:r>
      <w:r>
        <w:rPr>
          <w:rFonts w:ascii="Times New Roman" w:hAnsi="Times New Roman"/>
          <w:color w:val="000000"/>
          <w:sz w:val="24"/>
        </w:rPr>
        <w:t>. The price per Share is $14.05.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both"/>
        <w:rPr/>
      </w:pPr>
      <w:r>
        <w:rPr>
          <w:rFonts w:ascii="Times New Roman" w:hAnsi="Times New Roman"/>
          <w:color w:val="000000"/>
          <w:sz w:val="24"/>
          <w:u w:val="single"/>
        </w:rPr>
        <w:t>Closing</w:t>
      </w:r>
      <w:r>
        <w:rPr>
          <w:rFonts w:ascii="Times New Roman" w:hAnsi="Times New Roman"/>
          <w:color w:val="000000"/>
          <w:sz w:val="24"/>
        </w:rPr>
        <w:t xml:space="preserve">. Subject to the satisfaction or waiver of the conditions set forth in </w:t>
      </w:r>
      <w:r>
        <w:rPr>
          <w:rFonts w:ascii="Times New Roman" w:hAnsi="Times New Roman"/>
          <w:color w:val="000000"/>
          <w:sz w:val="24"/>
          <w:u w:val="single"/>
        </w:rPr>
        <w:t>Section 6</w:t>
      </w:r>
      <w:r>
        <w:rPr>
          <w:color w:val="000000"/>
        </w:rPr>
        <w:t xml:space="preserve"> </w:t>
      </w:r>
      <w:r>
        <w:rPr>
          <w:rFonts w:ascii="Times New Roman" w:hAnsi="Times New Roman"/>
          <w:color w:val="000000"/>
          <w:sz w:val="24"/>
        </w:rPr>
        <w:t>of this Agreement, the closing of the purchase and sale of the Shares (the “</w:t>
      </w:r>
      <w:r>
        <w:rPr>
          <w:rFonts w:ascii="Times New Roman" w:hAnsi="Times New Roman"/>
          <w:b/>
          <w:color w:val="000000"/>
          <w:sz w:val="24"/>
        </w:rPr>
        <w:t>Closing</w:t>
      </w:r>
      <w:r>
        <w:rPr>
          <w:color w:val="000000"/>
        </w:rPr>
        <w:t xml:space="preserve">” </w:t>
      </w:r>
      <w:r>
        <w:rPr>
          <w:rFonts w:ascii="Times New Roman" w:hAnsi="Times New Roman"/>
          <w:color w:val="000000"/>
          <w:sz w:val="24"/>
        </w:rPr>
        <w:t>and the date on which the Closing occurs, the “</w:t>
      </w:r>
      <w:r>
        <w:rPr>
          <w:rFonts w:ascii="Times New Roman" w:hAnsi="Times New Roman"/>
          <w:b/>
          <w:color w:val="000000"/>
          <w:sz w:val="24"/>
        </w:rPr>
        <w:t>Closing Date</w:t>
      </w:r>
      <w:r>
        <w:rPr>
          <w:color w:val="000000"/>
        </w:rPr>
        <w:t>”</w:t>
      </w:r>
      <w:r>
        <w:rPr>
          <w:rFonts w:ascii="Times New Roman" w:hAnsi="Times New Roman"/>
          <w:color w:val="000000"/>
          <w:sz w:val="24"/>
        </w:rPr>
        <w:t xml:space="preserve">) shall occur remotely via the exchange of documents and signatures at such time as agreed to by the Company and the Investors but (i) in no event earlier than the second Business Day after the date of this Agreement and (ii) in no event later than the fifth Business Day after the date of this Agreement. At the Closing, the Shares shall be issued and registered in the name of the Investor, or in such nominee name(s) as designated by such Investor, representing the number of Shares to be purchased by the Investor at the Closing as set forth in </w:t>
      </w:r>
      <w:r>
        <w:rPr>
          <w:rFonts w:ascii="Times New Roman" w:hAnsi="Times New Roman"/>
          <w:color w:val="000000"/>
          <w:sz w:val="24"/>
          <w:u w:val="single"/>
        </w:rPr>
        <w:t>Exhibit A</w:t>
      </w:r>
      <w:r>
        <w:rPr>
          <w:rFonts w:ascii="Times New Roman" w:hAnsi="Times New Roman"/>
          <w:color w:val="000000"/>
          <w:sz w:val="24"/>
        </w:rPr>
        <w:t>, in each case against payment to the Company of the purchase price therefor (the “</w:t>
      </w:r>
      <w:r>
        <w:rPr>
          <w:rFonts w:ascii="Times New Roman" w:hAnsi="Times New Roman"/>
          <w:b/>
          <w:color w:val="000000"/>
          <w:sz w:val="24"/>
        </w:rPr>
        <w:t>Aggregate Purchase Amount</w:t>
      </w:r>
      <w:r>
        <w:rPr>
          <w:color w:val="000000"/>
        </w:rPr>
        <w:t>”</w:t>
      </w:r>
      <w:r>
        <w:rPr>
          <w:rFonts w:ascii="Times New Roman" w:hAnsi="Times New Roman"/>
          <w:color w:val="000000"/>
          <w:sz w:val="24"/>
        </w:rPr>
        <w:t xml:space="preserve">) in full, by wire transfer to the Company of immediately available funds, at or prior to the Closing, in accordance with wire instructions provided by the Company to the Investors at least one Business Day prior to the Closing. On the Closing Date, the Company will cause the Transfer Agent to issue the Shares in book-entry form, free and clear of all restrictive and other legends (except as expressly provided in </w:t>
      </w:r>
      <w:r>
        <w:rPr>
          <w:rFonts w:ascii="Times New Roman" w:hAnsi="Times New Roman"/>
          <w:color w:val="000000"/>
          <w:sz w:val="24"/>
          <w:u w:val="single"/>
        </w:rPr>
        <w:t>Section 4.10 hereof</w:t>
      </w:r>
      <w:r>
        <w:rPr>
          <w:rFonts w:ascii="Times New Roman" w:hAnsi="Times New Roman"/>
          <w:color w:val="000000"/>
          <w:sz w:val="24"/>
        </w:rPr>
        <w:t xml:space="preserve">) and the Company shall provide evidence of such issuance from the Company’s Transfer Agent as soon as reasonably practicable following the Closing Date to each Investor. In the event that the Closing has not occurred within one Business Day after the expected Closing Date, unless otherwise agreed by the Company and such Investor, the Company shall promptly (but no later than one Business Day thereafter) return the previously wired Aggregate Purchase Amount to each respective Investor by wire transfer of United States dollars in immediately available funds to the account specified by each Investor, and any book entries for the Shares shall be deemed cancelled; provided that, unless this Agreement has been terminated pursuant to </w:t>
      </w:r>
      <w:r>
        <w:rPr>
          <w:rFonts w:ascii="Times New Roman" w:hAnsi="Times New Roman"/>
          <w:color w:val="000000"/>
          <w:sz w:val="24"/>
          <w:u w:val="single"/>
        </w:rPr>
        <w:t>Section 7</w:t>
      </w:r>
      <w:r>
        <w:rPr>
          <w:rFonts w:ascii="Times New Roman" w:hAnsi="Times New Roman"/>
          <w:color w:val="000000"/>
          <w:sz w:val="24"/>
        </w:rPr>
        <w:t>, such return of funds shall not terminate this Agreement or relieve such Investor of its obligation to purchase, or the Company of its obligation to issue and sell, the Shares at the Closing.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4"/>
          <w:u w:val="single"/>
        </w:rPr>
        <w:t>Representations and Warranties of the Company</w:t>
      </w:r>
      <w:r>
        <w:rPr>
          <w:rFonts w:ascii="Times New Roman" w:hAnsi="Times New Roman"/>
          <w:color w:val="000000"/>
          <w:sz w:val="24"/>
        </w:rPr>
        <w:t xml:space="preserve">. Except as set forth in the SEC Reports (other than as to the Fundamental Representations, which are not so qualified), the Company hereby represents and warrants to each of the Investors that the statements contained in this </w:t>
      </w:r>
      <w:r>
        <w:rPr>
          <w:rFonts w:ascii="Times New Roman" w:hAnsi="Times New Roman"/>
          <w:color w:val="000000"/>
          <w:sz w:val="24"/>
          <w:u w:val="single"/>
        </w:rPr>
        <w:t>Section 3</w:t>
      </w:r>
      <w:r>
        <w:rPr>
          <w:color w:val="000000"/>
        </w:rPr>
        <w:t xml:space="preserve"> </w:t>
      </w:r>
      <w:r>
        <w:rPr>
          <w:rFonts w:ascii="Times New Roman" w:hAnsi="Times New Roman"/>
          <w:color w:val="000000"/>
          <w:sz w:val="24"/>
        </w:rPr>
        <w:t>are true and correct as of the date of this Agreement and as of the Closing Date (except for the representations and warranties that speak as of a specific date, which shall be made as of such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w:t>
      </w:r>
    </w:p>
    <w:p>
      <w:pPr>
        <w:pStyle w:val="TextBody"/>
        <w:bidi w:val="0"/>
        <w:spacing w:before="0" w:after="240"/>
        <w:jc w:val="both"/>
        <w:rPr/>
      </w:pPr>
      <w:r>
        <w:rPr>
          <w:rFonts w:ascii="Times New Roman" w:hAnsi="Times New Roman"/>
          <w:color w:val="000000"/>
          <w:sz w:val="24"/>
          <w:u w:val="single"/>
        </w:rPr>
        <w:t>Organization and Power</w:t>
      </w:r>
      <w:r>
        <w:rPr>
          <w:rFonts w:ascii="Times New Roman" w:hAnsi="Times New Roman"/>
          <w:color w:val="000000"/>
          <w:sz w:val="24"/>
        </w:rPr>
        <w:t xml:space="preserve">. The Company is a corporation duly organized, validly existing and in good standing under the laws of the State of Delaware, has the requisite power and authority to own, lease and operate its properties and to carry on its business as now conducted and described in the SEC Reports and is qualified to do business in each jurisdiction in which the character of its properties or the nature of its business requires such qualification, except where such failure to be in good standing or to have such power and authority or to so qualify would not reasonably be expected to have a Material Adverse Effect. Each of the Company’s subsidiaries is (i) duly incorporated and validly existing and in good standing under the laws of the jurisdiction of its incorporation and has the requisite power and authority to carry on its business as now conducted and to own or lease its properties and (ii) qualified to do business as a foreign corporation and in good standing in each jurisdiction in which such qualification is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required, except in each case as would not reasonably be expected to have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3.2</w:t>
      </w:r>
    </w:p>
    <w:p>
      <w:pPr>
        <w:pStyle w:val="TextBody"/>
        <w:bidi w:val="0"/>
        <w:spacing w:before="0" w:after="240"/>
        <w:jc w:val="both"/>
        <w:rPr/>
      </w:pPr>
      <w:r>
        <w:rPr>
          <w:rFonts w:ascii="Times New Roman" w:hAnsi="Times New Roman"/>
          <w:color w:val="000000"/>
          <w:sz w:val="24"/>
          <w:u w:val="single"/>
        </w:rPr>
        <w:t>Capitalization</w:t>
      </w:r>
      <w:r>
        <w:rPr>
          <w:rFonts w:ascii="Times New Roman" w:hAnsi="Times New Roman"/>
          <w:color w:val="000000"/>
          <w:sz w:val="24"/>
        </w:rPr>
        <w:t>. The Company’s disclosure of its authorized, issued and outstanding capital stock in the SEC Reports containing such disclosure was accurate in all material respects as of the date indicated in such SEC Reports. All of the issued and outstanding shares of Common Stock have been duly authorized and validly issued and are fully paid and non-assessable. None of the outstanding shares of capital stock of the Company were issued in violation of any preemptive or other similar rights of any securityholder of the Company which have not been waived, and such shares were issued in compliance in all material respects with applicable state and federal securities laws and any rights of third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3.3</w:t>
      </w:r>
    </w:p>
    <w:p>
      <w:pPr>
        <w:pStyle w:val="TextBody"/>
        <w:bidi w:val="0"/>
        <w:spacing w:before="0" w:after="240"/>
        <w:jc w:val="both"/>
        <w:rPr/>
      </w:pPr>
      <w:r>
        <w:rPr>
          <w:rFonts w:ascii="Times New Roman" w:hAnsi="Times New Roman"/>
          <w:color w:val="000000"/>
          <w:sz w:val="24"/>
          <w:u w:val="single"/>
        </w:rPr>
        <w:t>Registration Rights</w:t>
      </w:r>
      <w:r>
        <w:rPr>
          <w:rFonts w:ascii="Times New Roman" w:hAnsi="Times New Roman"/>
          <w:color w:val="000000"/>
          <w:sz w:val="24"/>
        </w:rPr>
        <w:t>. Except as set forth in the Transaction Agreements or as disclosed in the SEC Reports, the Company is presently not under any obligation, and has not granted any rights, to register under the Securities Act any of the Company’s presently outstanding securities or any of its securities that may hereafter be issued, other than such rights and obligations that have expired or been satisfied or waived.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3.4</w:t>
      </w:r>
    </w:p>
    <w:p>
      <w:pPr>
        <w:pStyle w:val="TextBody"/>
        <w:bidi w:val="0"/>
        <w:spacing w:before="0" w:after="240"/>
        <w:jc w:val="both"/>
        <w:rPr/>
      </w:pPr>
      <w:r>
        <w:rPr>
          <w:rFonts w:ascii="Times New Roman" w:hAnsi="Times New Roman"/>
          <w:color w:val="000000"/>
          <w:sz w:val="24"/>
          <w:u w:val="single"/>
        </w:rPr>
        <w:t>Authorization</w:t>
      </w:r>
      <w:r>
        <w:rPr>
          <w:rFonts w:ascii="Times New Roman" w:hAnsi="Times New Roman"/>
          <w:color w:val="000000"/>
          <w:sz w:val="24"/>
        </w:rPr>
        <w:t>. The Company has all requisite corporate power and authority to enter into the Transaction Agreements and to carry out and perform its obligations under the terms of the Transaction Agreements, including the issuance and sale of the Shares. All corporate action on the part of the Company, its officers, directors and stockholders necessary for the authorization of the Shares, the authorization, execution, delivery and performance of the Transaction Agreements and the consummation of the transactions contemplated herein, including the issuance and sale of the Shares, has been taken, including, without limitation, the approval of the Board of Directors (or a committee thereof) in accordance with Section 144(a)(1) of the Delaware General Corporation Law (the “</w:t>
      </w:r>
      <w:r>
        <w:rPr>
          <w:rFonts w:ascii="Times New Roman" w:hAnsi="Times New Roman"/>
          <w:b/>
          <w:color w:val="000000"/>
          <w:sz w:val="24"/>
        </w:rPr>
        <w:t>DGCL</w:t>
      </w:r>
      <w:r>
        <w:rPr>
          <w:color w:val="000000"/>
        </w:rPr>
        <w:t>”</w:t>
      </w:r>
      <w:r>
        <w:rPr>
          <w:rFonts w:ascii="Times New Roman" w:hAnsi="Times New Roman"/>
          <w:color w:val="000000"/>
          <w:sz w:val="24"/>
        </w:rPr>
        <w:t>). This Agreement has been duly executed and delivered by the Company and, assuming the due authorization, execution and delivery by each Investor of this Agreement and that this Agreement constitutes the legal, valid and binding agreement of each Investor, this Agreement constitutes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Upon its execution by the Company and the other parties thereto and assuming that it constitutes legal, valid and binding agreements of the other parties thereto, the Registration Rights Agreement will constitute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3.5</w:t>
      </w:r>
    </w:p>
    <w:p>
      <w:pPr>
        <w:pStyle w:val="TextBody"/>
        <w:bidi w:val="0"/>
        <w:spacing w:before="0" w:after="240"/>
        <w:jc w:val="both"/>
        <w:rPr/>
      </w:pPr>
      <w:r>
        <w:rPr>
          <w:rFonts w:ascii="Times New Roman" w:hAnsi="Times New Roman"/>
          <w:color w:val="000000"/>
          <w:sz w:val="24"/>
          <w:u w:val="single"/>
        </w:rPr>
        <w:t>Valid Issuance</w:t>
      </w:r>
      <w:r>
        <w:rPr>
          <w:rFonts w:ascii="Times New Roman" w:hAnsi="Times New Roman"/>
          <w:color w:val="000000"/>
          <w:sz w:val="24"/>
        </w:rPr>
        <w:t xml:space="preserve">. The Shares being purchased by the Investors hereunder have been duly and validly authorized and, upon issuance pursuant to the terms of this Agreement against full payment therefor in accordance with the terms of this Agreement, will be duly and validly issued, fully paid and non-assessable and will be issued free and clear of any liens or other restrictions (other than those as provided in the Transaction Agreements or restrictions on transfer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under applicable state and federal securities laws), and the holder of the Shares shall be entitled to all rights accorded to a holder of Common Stock. Subject to the accuracy of the representations and warranties made by the Investors in </w:t>
      </w:r>
      <w:r>
        <w:rPr>
          <w:rFonts w:ascii="Times New Roman" w:hAnsi="Times New Roman"/>
          <w:color w:val="000000"/>
          <w:sz w:val="24"/>
          <w:u w:val="single"/>
        </w:rPr>
        <w:t>Section 4</w:t>
      </w:r>
      <w:r>
        <w:rPr>
          <w:rFonts w:ascii="Times New Roman" w:hAnsi="Times New Roman"/>
          <w:color w:val="000000"/>
          <w:sz w:val="24"/>
        </w:rPr>
        <w:t>, the offer and sale of the Shares to the Investors is and will be (i) exempt from the registration and prospectus delivery requirements of the Securities Act and (ii) exempt from (or otherwise not subject to) the registration and qualification requirements of applicable securities laws of the states of the United States.</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3.6</w:t>
      </w:r>
    </w:p>
    <w:p>
      <w:pPr>
        <w:pStyle w:val="TextBody"/>
        <w:bidi w:val="0"/>
        <w:spacing w:before="0" w:after="240"/>
        <w:jc w:val="both"/>
        <w:rPr/>
      </w:pPr>
      <w:r>
        <w:rPr>
          <w:rFonts w:ascii="Times New Roman" w:hAnsi="Times New Roman"/>
          <w:color w:val="000000"/>
          <w:sz w:val="24"/>
          <w:u w:val="single"/>
        </w:rPr>
        <w:t>No Conflict</w:t>
      </w:r>
      <w:r>
        <w:rPr>
          <w:rFonts w:ascii="Times New Roman" w:hAnsi="Times New Roman"/>
          <w:color w:val="000000"/>
          <w:sz w:val="24"/>
        </w:rPr>
        <w:t>. The execution, delivery and performance of the Transaction Agreements by the Company, the issuance and sale of the Shares and the consummation of the other transactions contemplated by the Transaction Agreements will not (i) violate any provision of the Amended and Restated Certificate of Incorporation or Amended and Restated Bylaws of the Company, (ii) conflict with or result in a violation of or default (with or without notice or lapse of time, or both) under, or give rise to a right of termination, cancellation or acceleration of any obligation, a change of control right or to a loss of a benefit under any agreement or instrument, credit facility, franchise, license, judgment, order, statute, law, ordinance, rule or regulations, applicable to the Company or any of its subsidiaries or their respective properties or assets, or (iii) result in a violation of any law, rule, regulation, order, judgment, injunction, decree or other restriction of any court or governmental authority to which the Company or any of its subsidiaries is subject (including federal and state securities laws and regulations) and the rules and regulations of any self-regulatory organization to which the Company or its securities are subject, or by which any property or asset of the Company or any of its subsidiaries is bound or affected, except, in the case of clauses (ii) and (iii), as would not, individually or in the aggregate, be reasonably expected to have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3.7</w:t>
      </w:r>
    </w:p>
    <w:p>
      <w:pPr>
        <w:pStyle w:val="TextBody"/>
        <w:bidi w:val="0"/>
        <w:spacing w:before="0" w:after="240"/>
        <w:jc w:val="both"/>
        <w:rPr/>
      </w:pPr>
      <w:r>
        <w:rPr>
          <w:rFonts w:ascii="Times New Roman" w:hAnsi="Times New Roman"/>
          <w:color w:val="000000"/>
          <w:sz w:val="24"/>
          <w:u w:val="single"/>
        </w:rPr>
        <w:t>Consents</w:t>
      </w:r>
      <w:r>
        <w:rPr>
          <w:rFonts w:ascii="Times New Roman" w:hAnsi="Times New Roman"/>
          <w:color w:val="000000"/>
          <w:sz w:val="24"/>
        </w:rPr>
        <w:t>. Assuming the accuracy of the representations and warranties of the Investors, no consent, approval, authorization, filing with or order of or registration with, any court or governmental agency or body is required in connection with the authorization, execution or delivery by the Company of the Transaction Agreements, the issuance and sale of the Shares and the performance by the Company of its other obligations under the Transaction Agreements, except (a) as have been or will be obtained or made under the Securities Act or the Exchange Act, (b) the filing of any requisite notices and/or application(s) to the National Exchange for the issuance and sale of the Shares and the listing of the Shares for trading or quotation, as the case may be, thereon in the time and manner required thereby, (c) customary post-closing filings with the SEC or pursuant to state securities laws in connection with the offer and sale of the Shares by the Company in the manner contemplated herein, which will be filed on a timely basis, (d) the filing of the registration statement required to be filed by the Registration Rights Agreement, or (e) such that the failure of which to obtain would not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3.8</w:t>
      </w:r>
    </w:p>
    <w:p>
      <w:pPr>
        <w:pStyle w:val="TextBody"/>
        <w:bidi w:val="0"/>
        <w:spacing w:before="0" w:after="240"/>
        <w:jc w:val="both"/>
        <w:rPr/>
      </w:pPr>
      <w:r>
        <w:rPr>
          <w:rFonts w:ascii="Times New Roman" w:hAnsi="Times New Roman"/>
          <w:color w:val="000000"/>
          <w:sz w:val="24"/>
          <w:u w:val="single"/>
        </w:rPr>
        <w:t>SEC Filings; Financial Statements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has filed all forms, statements, certifications, reports and documents required to be filed by it with the SEC under Section 13, 14(a) and 15(d) of the Exchange Act for the one year preceding the date of this Agreement and is in compliance with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General Instruction I.A.3 of Form S-3. As of the time it was filed with the SEC (or, if amended or superseded by a filing prior to the date of this Agreement, then on the date of such filing), each of the filed SEC Reports complied in all material respects with the applicable requirements of the Exchange Act, and, as of the time they were filed, none of the filed SEC Reports contained any untrue statement of a material fact or omitted to state a material fact required to be stated therein or necessary in order to make the statements therein, in light of the circumstances under which they were made, not misleading. There are no outstanding or unresolved comments from the SEC staff with respect to the SEC Reports. To the Company’s knowledge, none of the SEC Reports are the subject of an ongoing SEC review. The interactive data in eXtensible Business Reporting Language included in the SEC Reports fairly presents the information called for in all material respects and has been prepared in accordance with the SEC’s rules and guidelines applicable thereto. The Company is not, and has never been, an issuer subject to Rule 144(i) under the Securities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The financial statements of the Company included in the SEC Reports (collectively, the “</w:t>
      </w:r>
      <w:r>
        <w:rPr>
          <w:rFonts w:ascii="Times New Roman" w:hAnsi="Times New Roman"/>
          <w:b/>
          <w:color w:val="000000"/>
          <w:sz w:val="24"/>
        </w:rPr>
        <w:t>Financial Statements</w:t>
      </w:r>
      <w:r>
        <w:rPr>
          <w:color w:val="000000"/>
        </w:rPr>
        <w:t>”</w:t>
      </w:r>
      <w:r>
        <w:rPr>
          <w:rFonts w:ascii="Times New Roman" w:hAnsi="Times New Roman"/>
          <w:color w:val="000000"/>
          <w:sz w:val="24"/>
        </w:rPr>
        <w:t>) comply in all material respects with applicable accounting requirements and the rules and regulations of the SEC with respect thereto as in effect at the time of filing (or to the extent corrected by a subsequent restatement) and fairly present in all material respects the consolidated financial position of the Company as of the dates indicated, and the results of its operations and cash flows for the periods therein specified, all in accordance with United States generally accepted accounting principles (“</w:t>
      </w:r>
      <w:r>
        <w:rPr>
          <w:rFonts w:ascii="Times New Roman" w:hAnsi="Times New Roman"/>
          <w:b/>
          <w:color w:val="000000"/>
          <w:sz w:val="24"/>
        </w:rPr>
        <w:t>GAAP</w:t>
      </w:r>
      <w:r>
        <w:rPr>
          <w:color w:val="000000"/>
        </w:rPr>
        <w:t>”</w:t>
      </w:r>
      <w:r>
        <w:rPr>
          <w:rFonts w:ascii="Times New Roman" w:hAnsi="Times New Roman"/>
          <w:color w:val="000000"/>
          <w:sz w:val="24"/>
        </w:rPr>
        <w:t>) (except as otherwise noted therein, and in the case of unaudited financial statements, as permitted by Form 10-Q of the SEC, and except that the unaudited financial statements may not contain certain footnotes and are subject to normal and recurring year-end adjustments) applied on a consistent basis throughout the periods therein specified (unless otherwise noted therein). Except as set forth in the Financial Statements filed prior to the date of this Agreement, the Company has not incurred any liabilities, contingent or otherwise, except (i) those incurred in the ordinary course of business, consistent with past practices since the date of such financial statements or (ii) liabilities not required under GAAP to be reflected in the Financial Statements, in either case, none of which, individually or in the aggregate, have had or would reasonably be expected to have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3.9</w:t>
      </w:r>
    </w:p>
    <w:p>
      <w:pPr>
        <w:pStyle w:val="TextBody"/>
        <w:bidi w:val="0"/>
        <w:spacing w:before="0" w:after="240"/>
        <w:jc w:val="both"/>
        <w:rPr/>
      </w:pPr>
      <w:r>
        <w:rPr>
          <w:rFonts w:ascii="Times New Roman" w:hAnsi="Times New Roman"/>
          <w:color w:val="000000"/>
          <w:sz w:val="24"/>
          <w:u w:val="single"/>
        </w:rPr>
        <w:t>Absence of Changes</w:t>
      </w:r>
      <w:r>
        <w:rPr>
          <w:rFonts w:ascii="Times New Roman" w:hAnsi="Times New Roman"/>
          <w:color w:val="000000"/>
          <w:sz w:val="24"/>
        </w:rPr>
        <w:t xml:space="preserve">. Between December 31, 2025 and the date of this Agreement, (a) the Company has conducted its business only in the ordinary course of business and there have been no material transactions entered into by the Company (except for the execution and performance of this Agreement and the discussions, negotiations and transactions related thereto); (b) no material change to any material contract or arrangement by which the Company or any of its subsidiaries is bound or to which any of its assets or properties is subject has been entered into that has not been disclosed in the SEC Reports; and (c) there has not been any other event or condition of any character that has had or would reasonably be expected to have a Material Adverse Effect; provided, however, that none of the following will be deemed in themselves, either alone or in combination, to constitute, and that none of the following will be taken into account in determining whether there has been or will be, a Material Adverse Effect under this </w:t>
      </w:r>
      <w:r>
        <w:rPr>
          <w:rFonts w:ascii="Times New Roman" w:hAnsi="Times New Roman"/>
          <w:color w:val="000000"/>
          <w:sz w:val="24"/>
          <w:u w:val="single"/>
        </w:rPr>
        <w:t>Section 3.9</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any change generally affecting the economy, financial markets or political, economic or regulatory conditions in the United States or any other geographic region in which the Company conducts business, provided that the Company is not disproportionately affected thereby;</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general financial, credit or capital market conditions, including interest rates or exchange rates, or any changes therein, provided that the Company is not disproportionately affected thereby;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any change that generally affects industries in which the Company and its subsidiaries conduct business, provided that the Company is not disproportionately affected thereby;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earthquakes, hurricanes, tsunamis, tornadoes, floods, mudslides, fires or other natural disasters, weather conditions, global pandemics, epidemic or similar health emergency, and other force majeure events in the United States or any other location, provided that the Company is not disproportionately affected thereby;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national or international political or social conditions (or changes in such conditions), whether or not pursuant to the declaration of a national emergency or war, or the occurrence of any military or terrorist attack, provided that the Company is not disproportionately affected thereby;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 material changes in laws after the date of this Agreement;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 in and of itself, any material failure by the Company to meet any published or internally prepared estimates of revenues, expenses, earnings or other economic performance for any period ending on or after the date of this Agreement (it being understood that the facts and circumstances giving rise to such failure may be deemed to constitute, and may be taken into account in determining whether there has been, a Material Adverse Effect to the extent that such facts and circumstances are not otherwise described in clauses (i)-(v) of this definition).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3.10</w:t>
      </w:r>
    </w:p>
    <w:p>
      <w:pPr>
        <w:pStyle w:val="TextBody"/>
        <w:bidi w:val="0"/>
        <w:spacing w:before="0" w:after="240"/>
        <w:jc w:val="both"/>
        <w:rPr/>
      </w:pPr>
      <w:r>
        <w:rPr>
          <w:rFonts w:ascii="Times New Roman" w:hAnsi="Times New Roman"/>
          <w:color w:val="000000"/>
          <w:sz w:val="24"/>
          <w:u w:val="single"/>
        </w:rPr>
        <w:t>Absence of Litigation</w:t>
      </w:r>
      <w:r>
        <w:rPr>
          <w:rFonts w:ascii="Times New Roman" w:hAnsi="Times New Roman"/>
          <w:color w:val="000000"/>
          <w:sz w:val="24"/>
        </w:rPr>
        <w:t>. There is no action, suit, proceeding, arbitration, claim, investigation, charge, complaint or inquiry pending or, to the Company’s knowledge, threatened against the Company or any of its subsidiaries which, individually or in the aggregate, has had or would reasonably be expected to have a Material Adverse Effect, nor are there any orders, writs, injunctions, judgments or decrees outstanding of any court or government agency or instrumentality and binding upon the Company or any of its subsidiaries that have had or would reasonably be expected to have a Material Adverse Effect. Neither the Company nor any subsidiary, nor to the knowledge of the Company, any director or officer of the Company or any subsidiary, is, or within the last ten years has been, the subject of any action involving a claim of violation of or liability under federal or state securities laws relating to the Company or such subsidiary or a claim of breach of fiduciary duty relating to the Company or such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3.11</w:t>
      </w:r>
    </w:p>
    <w:p>
      <w:pPr>
        <w:pStyle w:val="TextBody"/>
        <w:bidi w:val="0"/>
        <w:spacing w:before="0" w:after="240"/>
        <w:jc w:val="both"/>
        <w:rPr/>
      </w:pPr>
      <w:r>
        <w:rPr>
          <w:rFonts w:ascii="Times New Roman" w:hAnsi="Times New Roman"/>
          <w:color w:val="000000"/>
          <w:sz w:val="24"/>
          <w:u w:val="single"/>
        </w:rPr>
        <w:t>Compliance with Law; Permits</w:t>
      </w:r>
      <w:r>
        <w:rPr>
          <w:rFonts w:ascii="Times New Roman" w:hAnsi="Times New Roman"/>
          <w:color w:val="000000"/>
          <w:sz w:val="24"/>
        </w:rPr>
        <w:t>. Neither the Company nor any of its subsidiaries is in violation of, or has received any notices of violations with respect to, any laws, statutes, ordinances, rules or regulations of any governmental body, court or government agency or instrumentality, except for violations which, individually or in the aggregate, have not had and would not reasonably be expected to have a Material Adverse Effect. The Company and its subsidiaries have all required licenses, permits, certificates and other authorizations (collectively, “</w:t>
      </w:r>
      <w:r>
        <w:rPr>
          <w:rFonts w:ascii="Times New Roman" w:hAnsi="Times New Roman"/>
          <w:b/>
          <w:color w:val="000000"/>
          <w:sz w:val="24"/>
        </w:rPr>
        <w:t>Governmental Authorizations</w:t>
      </w:r>
      <w:r>
        <w:rPr>
          <w:color w:val="000000"/>
        </w:rPr>
        <w:t>”</w:t>
      </w:r>
      <w:r>
        <w:rPr>
          <w:rFonts w:ascii="Times New Roman" w:hAnsi="Times New Roman"/>
          <w:color w:val="000000"/>
          <w:sz w:val="24"/>
        </w:rPr>
        <w:t xml:space="preserve">) from such federal, state or local government or governmental agency, department or body that are currently necessary for the operation of the business of the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Company and its subsidiaries as currently conducted, except where the failure to possess currently such Governmental Authorizations has not had and is not reasonably expected to have a Material Adverse Effect. Neither the Company nor any subsidiary has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3.12</w:t>
      </w:r>
    </w:p>
    <w:p>
      <w:pPr>
        <w:pStyle w:val="TextBody"/>
        <w:bidi w:val="0"/>
        <w:spacing w:before="0" w:after="240"/>
        <w:jc w:val="both"/>
        <w:rPr/>
      </w:pPr>
      <w:r>
        <w:rPr>
          <w:rFonts w:ascii="Times New Roman" w:hAnsi="Times New Roman"/>
          <w:color w:val="000000"/>
          <w:sz w:val="24"/>
          <w:u w:val="single"/>
        </w:rPr>
        <w:t>Intellectual Property</w:t>
      </w:r>
      <w:r>
        <w:rPr>
          <w:rFonts w:ascii="Times New Roman" w:hAnsi="Times New Roman"/>
          <w:color w:val="000000"/>
          <w:sz w:val="24"/>
        </w:rPr>
        <w:t>. The Company owns or has valid and enforceable licenses or other rights to all patents, copyrights, copyrightable works, trademarks, service marks, trade names, and service names (including all applications and registrations relating to any of the foregoing), and all inventions, know-how, trade secrets and other proprietary or confidential information (whether or not patentable), systems or procedures and all other technology and intellectual property rights necessary for the conduct, or the proposed conduct, of the business of the Company in the manner described in the SEC Reports (collectively, the “</w:t>
      </w:r>
      <w:r>
        <w:rPr>
          <w:rFonts w:ascii="Times New Roman" w:hAnsi="Times New Roman"/>
          <w:b/>
          <w:color w:val="000000"/>
          <w:sz w:val="24"/>
        </w:rPr>
        <w:t>Company Intellectual Property</w:t>
      </w:r>
      <w:r>
        <w:rPr>
          <w:color w:val="000000"/>
        </w:rPr>
        <w:t>”</w:t>
      </w:r>
      <w:r>
        <w:rPr>
          <w:rFonts w:ascii="Times New Roman" w:hAnsi="Times New Roman"/>
          <w:color w:val="000000"/>
          <w:sz w:val="24"/>
        </w:rPr>
        <w:t xml:space="preserve">); the Company Intellectual Property disclosed in the SEC Reports as being owned by the Company is owned by the Company free and clear of all material liens, security interests, and encumbrances, and to the Company’s knowledge, there are no rights of third parties to such Company Intellectual Property; to the Company’s knowledge, the Company Intellectual Property is valid, enforceable and subsisting; and other than as disclosed in the SEC Reports, (i) the Company is not obligated to pay a material royalty, grant a material license, or provide other material consideration to any third party in connection with the Company Intellectual Property, (ii) no action, suit, claim or other proceeding is pending or, to the knowledge of the Company, is threatened, alleging that the conduct of the business of the Company in the manner described in the SEC Reports is infringing, misappropriating, diluting or otherwise violating any intellectual property rights of others, (iii) no action, suit, claim or other proceeding is pending or, to the knowledge of the Company, is threatened, challenging the validity, enforceability, scope, registration, ownership or use of any of the Company Intellectual Property, (iv) no action, suit, claim or other proceeding is pending or, to the knowledge of the Company, is threatened, challenging the Company’s rights in or to any Company Intellectual Property, (v) to the Company’s knowledge, no third party has any ownership right in or to any Company Intellectual Property in any field of use that is exclusively licensed to the Company, other than any licensor to the Company of such Company Intellectual Property, (vi) no employee, consultant or independent contractor of the Company is, to the Company’s knowledge, in violation in any material respect of any term of any employment contract, patent disclosure agreement, invention assignment agreement, non-competition agreement, non-solicitation agreement, nondisclosure agreement, or any restrictive covenant to or with a former employer or independent contractor where the basis of such violation relates to such employee’s employment or independent contractor’s engagement with the Company or actions undertaken while employed or engaged with the Company, (vii) the Company has taken reasonable measures to protect its material confidential information and material trade secrets and to maintain and safeguard the material Company Intellectual Property, including the execution of appropriate nondisclosure and confidentiality agreements, and (viii) the Company has complied with the material terms of each agreement pursuant to which the Company Intellectual Property has been licensed to the Company, and all such agreements are in full force and effect; except in each of (i)–(viii) such as would not, if determined adversely to the Company, individually or in the aggregate, reasonably be expected to have a Material Adverse Effect. All patents and patent applications within the Company Intellectual Property disclosed in the SEC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Reports as being owned by the Company have, to the knowledge of the Company, been duly and properly filed and maintained; to the knowledge of the Company, there are no material defects in any of such patents or patent applications; to the knowledge of the Company, the parties prosecuting such applications have complied with their duty of candor and disclosure to the United States Patent and Trademark Office (the “</w:t>
      </w:r>
      <w:r>
        <w:rPr>
          <w:rFonts w:ascii="Times New Roman" w:hAnsi="Times New Roman"/>
          <w:b/>
          <w:color w:val="000000"/>
          <w:sz w:val="24"/>
        </w:rPr>
        <w:t>USPTO</w:t>
      </w:r>
      <w:r>
        <w:rPr>
          <w:color w:val="000000"/>
        </w:rPr>
        <w:t>”</w:t>
      </w:r>
      <w:r>
        <w:rPr>
          <w:rFonts w:ascii="Times New Roman" w:hAnsi="Times New Roman"/>
          <w:color w:val="000000"/>
          <w:sz w:val="24"/>
        </w:rPr>
        <w:t>) in connection with such applications; and the Company is not aware of any facts required to be disclosed to the USPTO that were not disclosed to the USPTO and which would preclude the grant of a patent in connection with any such application or could form the basis of a finding of invalidity with respect to any patents that have issued with respect to such applications; except such as would not, if determined adversely to the Company, individually or in the aggregate, reasonably be expected to have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3.13</w:t>
      </w:r>
    </w:p>
    <w:p>
      <w:pPr>
        <w:pStyle w:val="TextBody"/>
        <w:bidi w:val="0"/>
        <w:spacing w:before="0" w:after="240"/>
        <w:jc w:val="both"/>
        <w:rPr/>
      </w:pPr>
      <w:r>
        <w:rPr>
          <w:rFonts w:ascii="Times New Roman" w:hAnsi="Times New Roman"/>
          <w:color w:val="000000"/>
          <w:sz w:val="24"/>
          <w:u w:val="single"/>
        </w:rPr>
        <w:t>Employee Benefits</w:t>
      </w:r>
      <w:r>
        <w:rPr>
          <w:rFonts w:ascii="Times New Roman" w:hAnsi="Times New Roman"/>
          <w:color w:val="000000"/>
          <w:sz w:val="24"/>
        </w:rPr>
        <w:t>. Except as would not be reasonably likely to result in a Material Adverse Effect, each Benefit Plan has been established and administered in accordance with its terms and in compliance with the applicable provisions of ERISA, the Code, the Patient Protection and Affordable Care Act of 2010, as amended, and other applicable laws, rules and regulations. The Company and its subsidiaries are in compliance with all applicable federal, state and local laws, rules and regulations regarding employment, except for any failures to comply that are not reasonably likely, individually or in the aggregate, to have a Material Adverse Effect. There is no labor dispute, strike or work stoppage against the Company or its subsidiaries pending or, to the knowledge of the Company, threatened which may interfere with the business activities of the Company, except where such dispute, strike or work stoppage is not reasonably likely, individually or in the aggregate, to have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3.14</w:t>
      </w:r>
    </w:p>
    <w:p>
      <w:pPr>
        <w:pStyle w:val="TextBody"/>
        <w:bidi w:val="0"/>
        <w:spacing w:before="0" w:after="240"/>
        <w:jc w:val="both"/>
        <w:rPr/>
      </w:pPr>
      <w:r>
        <w:rPr>
          <w:rFonts w:ascii="Times New Roman" w:hAnsi="Times New Roman"/>
          <w:color w:val="000000"/>
          <w:sz w:val="24"/>
          <w:u w:val="single"/>
        </w:rPr>
        <w:t>Taxes</w:t>
      </w:r>
      <w:r>
        <w:rPr>
          <w:rFonts w:ascii="Times New Roman" w:hAnsi="Times New Roman"/>
          <w:color w:val="000000"/>
          <w:sz w:val="24"/>
        </w:rPr>
        <w:t xml:space="preserve">. All Tax Returns of the Company and its subsidiaries required by law to be filed have been filed and all Taxes shown as due on such returns or that otherwise have been assessed, which are due and payable, have been paid, except: (i) assessments against which appeals have been or will be promptly taken in good faith and as to which adequate reserves have been provided in accordance with the applicable accounting principles, or (ii) as would not, individually or in the aggregate, reasonably be expected to have a Material Adverse Effect. No audits, examinations, or other proceedings with respect to any material amounts of Taxes of the Company and its subsidiaries are presently in progress or have been asserted or proposed in writing without subsequently being paid, settled or withdrawn. There are no liens on any of the assets of the Company. At all times since inception, the Company has been and continues to be classified as a corporation for U.S. federal income tax purposes. Neither the Company nor any of its subsidiaries has been a United States real property holding corporation within the meaning of Code Section 897(c)(2) during the period specified in Code Section 897(c)(1)(A)(ii).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3.15</w:t>
      </w:r>
    </w:p>
    <w:p>
      <w:pPr>
        <w:pStyle w:val="TextBody"/>
        <w:bidi w:val="0"/>
        <w:spacing w:before="0" w:after="240"/>
        <w:jc w:val="both"/>
        <w:rPr/>
      </w:pPr>
      <w:r>
        <w:rPr>
          <w:rFonts w:ascii="Times New Roman" w:hAnsi="Times New Roman"/>
          <w:color w:val="000000"/>
          <w:sz w:val="24"/>
          <w:u w:val="single"/>
        </w:rPr>
        <w:t>Environmental Laws</w:t>
      </w:r>
      <w:r>
        <w:rPr>
          <w:rFonts w:ascii="Times New Roman" w:hAnsi="Times New Roman"/>
          <w:color w:val="000000"/>
          <w:sz w:val="24"/>
        </w:rPr>
        <w:t>.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hAnsi="Times New Roman"/>
          <w:b/>
          <w:color w:val="000000"/>
          <w:sz w:val="24"/>
        </w:rPr>
        <w:t>Environmental Laws</w:t>
      </w:r>
      <w:r>
        <w:rPr>
          <w:color w:val="000000"/>
        </w:rPr>
        <w:t>”</w:t>
      </w:r>
      <w:r>
        <w:rPr>
          <w:rFonts w:ascii="Times New Roman" w:hAnsi="Times New Roman"/>
          <w:color w:val="000000"/>
          <w:sz w:val="24"/>
        </w:rPr>
        <w:t xml:space="preserve">), (ii) have received all permits and other Governmental Authorizations required under applicable Environmental Laws to conduct their business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reasonably be expected to have a Material Adverse Effect. None of the Company nor any of its subsidiaries has received since January 1, 2026, any written notice or other communication (in writing or otherwise), whether from a governmental authority or other Person, that alleges that the Company or any subsidiary is not in compliance with any Environmental Law and, to the knowledge of the Company, there are no circumstances that may prevent or interfere with the Company’s or any subsidiary’s compliance in any material respects with any Environmental Law in the future, except where such failure to comply would not reasonably be expected to have a Material Adverse Effect. To the knowledge of the Company: (i) no current or (during the time a prior property was leased or controlled by the Company) prior property leased or controlled by the Company or any subsidiary has received since January 1, 2026, any written notice or other communication relating to property owned or leased at any time by the Company, whether from a governmental authority, or other Person, that alleges that such current or prior owner or the Company or any subsidiary is not in compliance with or violated any Environmental Law relating to such property and (ii) the Company has no material liability under any Environmental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3.16</w:t>
      </w:r>
    </w:p>
    <w:p>
      <w:pPr>
        <w:pStyle w:val="TextBody"/>
        <w:bidi w:val="0"/>
        <w:spacing w:before="0" w:after="240"/>
        <w:jc w:val="both"/>
        <w:rPr/>
      </w:pPr>
      <w:r>
        <w:rPr>
          <w:rFonts w:ascii="Times New Roman" w:hAnsi="Times New Roman"/>
          <w:color w:val="000000"/>
          <w:sz w:val="24"/>
          <w:u w:val="single"/>
        </w:rPr>
        <w:t>Title</w:t>
      </w:r>
      <w:r>
        <w:rPr>
          <w:rFonts w:ascii="Times New Roman" w:hAnsi="Times New Roman"/>
          <w:color w:val="000000"/>
          <w:sz w:val="24"/>
        </w:rPr>
        <w:t>. Each of the Company and its subsidiaries has good and marketable title to all personal property owned by it that is material to the business of the Company, free and clear of all liens, encumbrances and defects except such as do not materially affect the value of such property and do not interfere with the use made and proposed to be made of such property by the Company or its subsidiaries, as the case may be. Any real property and buildings held under lease by the Company or its subsidiaries is held under valid, subsisting and enforceable leases with such exceptions as are not material and do not interfere with the use made and proposed to be made of such property and buildings by the Company or its subsidiaries, as the case may be. The Company does not own any real property.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3.17</w:t>
      </w:r>
    </w:p>
    <w:p>
      <w:pPr>
        <w:pStyle w:val="TextBody"/>
        <w:bidi w:val="0"/>
        <w:spacing w:before="0" w:after="240"/>
        <w:jc w:val="both"/>
        <w:rPr/>
      </w:pPr>
      <w:r>
        <w:rPr>
          <w:rFonts w:ascii="Times New Roman" w:hAnsi="Times New Roman"/>
          <w:color w:val="000000"/>
          <w:sz w:val="24"/>
          <w:u w:val="single"/>
        </w:rPr>
        <w:t>Insurance</w:t>
      </w:r>
      <w:r>
        <w:rPr>
          <w:rFonts w:ascii="Times New Roman" w:hAnsi="Times New Roman"/>
          <w:color w:val="000000"/>
          <w:sz w:val="24"/>
        </w:rPr>
        <w:t>. The Company carries or is entitled to the benefits of insurance in such amounts and covering such risks that is customary for comparably situated companies and is adequate for the conduct of its business and the value of its real and personal properties (owned or leased) and tangible assets, and each of such insurance policies is in full force and effect and the Company is in compliance in all material respects with the terms of such insurance policies. Other than customary end-of-policy notifications from insurance carriers, since January 1, 2026, the Company has not received any notice or other communication regarding any actual or possible: (i) cancellation or invalidation of any material insurance policy or (ii) refusal or denial of any coverage, reservation of rights or rejection of any material claim under any insurance policy.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3.18</w:t>
      </w:r>
    </w:p>
    <w:p>
      <w:pPr>
        <w:pStyle w:val="TextBody"/>
        <w:bidi w:val="0"/>
        <w:spacing w:before="0" w:after="240"/>
        <w:jc w:val="both"/>
        <w:rPr/>
      </w:pPr>
      <w:r>
        <w:rPr>
          <w:rFonts w:ascii="Times New Roman" w:hAnsi="Times New Roman"/>
          <w:color w:val="000000"/>
          <w:sz w:val="24"/>
          <w:u w:val="single"/>
        </w:rPr>
        <w:t>Nasdaq Stock Market</w:t>
      </w:r>
      <w:r>
        <w:rPr>
          <w:rFonts w:ascii="Times New Roman" w:hAnsi="Times New Roman"/>
          <w:color w:val="000000"/>
          <w:sz w:val="24"/>
        </w:rPr>
        <w:t>. The issued and outstanding shares of Common Stock are registered pursuant to Section 12(b) of the Exchange Act and are listed for trading on the Nasdaq Global Select Market under the symbol “VOR”. The Company is in compliance with all listing requirements of Nasdaq applicable to the Company. As of the date of this Agreement, there is no suit, action, proceeding or investigation pending or, to the knowledge of the Company, threatened against the Company by Nasdaq or the SEC, respectively, to prohibit or terminate the listing of the Common Stock on the Nasdaq Global Select Market or to deregister the Common Stock under the Exchange Act. The Company has taken no action as of the date of this Agreement that is designed to terminate the registration of the Common Stock under the Exchange Act.</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3.19</w:t>
      </w:r>
    </w:p>
    <w:p>
      <w:pPr>
        <w:pStyle w:val="TextBody"/>
        <w:bidi w:val="0"/>
        <w:spacing w:before="0" w:after="240"/>
        <w:jc w:val="both"/>
        <w:rPr/>
      </w:pPr>
      <w:r>
        <w:rPr>
          <w:rFonts w:ascii="Times New Roman" w:hAnsi="Times New Roman"/>
          <w:color w:val="000000"/>
          <w:sz w:val="24"/>
          <w:u w:val="single"/>
        </w:rPr>
        <w:t>Sarbanes-Oxley Act</w:t>
      </w:r>
      <w:r>
        <w:rPr>
          <w:rFonts w:ascii="Times New Roman" w:hAnsi="Times New Roman"/>
          <w:color w:val="000000"/>
          <w:sz w:val="24"/>
        </w:rPr>
        <w:t>. The Company is, and since January 1, 2026, has been, in compliance in all material respects with all applicable requirements of the Sarbanes-Oxley Act of 2002 and applicable rules and regulations promulgated by the SEC thereunder.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3.20</w:t>
      </w:r>
    </w:p>
    <w:p>
      <w:pPr>
        <w:pStyle w:val="TextBody"/>
        <w:bidi w:val="0"/>
        <w:spacing w:before="0" w:after="240"/>
        <w:jc w:val="both"/>
        <w:rPr/>
      </w:pPr>
      <w:r>
        <w:rPr>
          <w:rFonts w:ascii="Times New Roman" w:hAnsi="Times New Roman"/>
          <w:color w:val="000000"/>
          <w:sz w:val="24"/>
          <w:u w:val="single"/>
        </w:rPr>
        <w:t>Clinical Data and Regulatory Compliance</w:t>
      </w:r>
      <w:r>
        <w:rPr>
          <w:rFonts w:ascii="Times New Roman" w:hAnsi="Times New Roman"/>
          <w:color w:val="000000"/>
          <w:sz w:val="24"/>
        </w:rPr>
        <w:t>. The clinical trials that are described in the SEC Reports were, to the Company’s knowledge, and, if still pending, are being, conducted in all material respects in accordance with the protocols submitted to the FDA or any foreign governmental body exercising comparable authority, and all applicable laws and regulations; the descriptions of the clinical trials conducted by or, to the Company’s knowledge, on behalf of the Company or by a licensor, and the results thereof, contained in SEC Reports are accurate and complete in all material respects; the Company is not aware of any other pre-clinical studies or clinical trials, the results of which materially call into question the results described in SEC Reports; and the Company has not received any written notices or correspondence from the FDA, any foreign, state or local governmental body exercising comparable authority or any Institutional Review Board or ethics committee or similar body requiring the termination, suspension, material adverse modification or clinical hold of any clinical trials conducted by or on behalf of the Company or by a licensor. Neither the Company or its subsidiaries nor any of their respective officers, employees or directors, nor, to the Company’s knowledge, any of its respective agents or clinical investigators, or licensors, has, for the past three (3) years, been excluded, suspended or debarred from participation in any U.S. federal or foreign health care program or human clinical research, or is subject to a governmental inquiry, investigation, proceeding or other similar action that could reasonably be expected to result in debarment, suspension, or exclusion, or convicted of any crime or engaged in any conduct that would reasonably be expected to result in debarment under 21 U.S.C. § 335a or comparable foreign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3.21</w:t>
      </w:r>
    </w:p>
    <w:p>
      <w:pPr>
        <w:pStyle w:val="TextBody"/>
        <w:bidi w:val="0"/>
        <w:spacing w:before="0" w:after="240"/>
        <w:jc w:val="both"/>
        <w:rPr/>
      </w:pPr>
      <w:r>
        <w:rPr>
          <w:rFonts w:ascii="Times New Roman" w:hAnsi="Times New Roman"/>
          <w:color w:val="000000"/>
          <w:sz w:val="24"/>
          <w:u w:val="single"/>
        </w:rPr>
        <w:t>Compliance with Health Care Laws</w:t>
      </w:r>
      <w:r>
        <w:rPr>
          <w:rFonts w:ascii="Times New Roman" w:hAnsi="Times New Roman"/>
          <w:color w:val="000000"/>
          <w:sz w:val="24"/>
        </w:rPr>
        <w:t>. The Company, its subsidiaries and their respective directors, officers and employees, are and for the past three (3) years have been, in compliance with applicable Health Care Laws (defined herein), including, but not limited to, the rules and regulations of the FDA, the U.S. Department of Health and Human Services Office of Inspector General, the Centers for Medicare &amp; Medicaid Services, the Office for Civil Rights, and the Department of Justice, except for such noncompliance that would not, individually or in the aggregate, reasonably be expected to have a Material Adverse Effect. For purposes of this Agreement, “</w:t>
      </w:r>
      <w:r>
        <w:rPr>
          <w:rFonts w:ascii="Times New Roman" w:hAnsi="Times New Roman"/>
          <w:b/>
          <w:color w:val="000000"/>
          <w:sz w:val="24"/>
        </w:rPr>
        <w:t>Health Care Laws</w:t>
      </w:r>
      <w:r>
        <w:rPr>
          <w:color w:val="000000"/>
        </w:rPr>
        <w:t xml:space="preserve">” </w:t>
      </w:r>
      <w:r>
        <w:rPr>
          <w:rFonts w:ascii="Times New Roman" w:hAnsi="Times New Roman"/>
          <w:color w:val="000000"/>
          <w:sz w:val="24"/>
        </w:rPr>
        <w:t>shall mean, as applicable, the federal Anti-kickback Statute (42 U.S.C. § 1320a-7b(b)), the Physician Payments Sunshine Act (42 U.S.C. § 1320a-7h), the civil False Claims Act (31 U.S.C. §§ 3729 et seq.), the criminal False Claims Act (42 U.S.C. § 1320a-7b(a)), applicable criminal laws relating to health care fraud and abuse, including, without limitation, those set forth at 18 U.S.C. §§ 286, 287 and 1349, the exclusion law (42 U.S.C. § 1320a-7), the civil monetary penalties law (42 U.S.C. § 1320a-7a), the Health Insurance Portability and Accountability Act of 1996 (42 U.S.C. §§ 1320d et seq.), as amended by the Health Information Technology for Economic and Clinical Health Act (42 U.S.C. §§ 17921 et seq.) (“</w:t>
      </w:r>
      <w:r>
        <w:rPr>
          <w:rFonts w:ascii="Times New Roman" w:hAnsi="Times New Roman"/>
          <w:b/>
          <w:color w:val="000000"/>
          <w:sz w:val="24"/>
        </w:rPr>
        <w:t>HIPAA</w:t>
      </w:r>
      <w:r>
        <w:rPr>
          <w:color w:val="000000"/>
        </w:rPr>
        <w:t>”</w:t>
      </w:r>
      <w:r>
        <w:rPr>
          <w:rFonts w:ascii="Times New Roman" w:hAnsi="Times New Roman"/>
          <w:color w:val="000000"/>
          <w:sz w:val="24"/>
        </w:rPr>
        <w:t xml:space="preserve">), and the Federal Food, Drug, and Cosmetic Act (21 U.S.C. §§ 301 et seq.), the Public Health Service Act (42 U.S.C. §§ 201 et seq.) and comparable state, local and foreign laws, each as amended from time and the regulations promulgated thereunder. The Company is not a party to or does not have any ongoing reporting obligations pursuant to any corporate integrity agreement, deferred or non-prosecution agreement, monitoring agreement, consent decree, settlement order, plan of correction or similar agreement imposed by any governmental authority. The Company has not received any written notification, correspondence or any other written or oral communication, including,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without limitation, any Form FDA 483, notice of adverse finding, warning letter, untitled letter or other correspondence or notice from the FDA or any similar regulatory authority, or any notification of any pending or, to the Company’s knowledge, threatened claim, suit, proceeding, hearing, enforcement, investigation, arbitration or other action, from any governmental authority alleging or asserting potential or actual material non-compliance by, or material liability of, the Company under any Health Care Laws. Each of the Company and its subsidiaries possesses, and is in compliance with the terms of, all applications, certificates, approvals, clearances, registrations, exemptions, franchises, licenses, permits, consents and other authorizations issued by the appropriate governmental authorities and necessary to conduct its business (collectively, “</w:t>
      </w:r>
      <w:r>
        <w:rPr>
          <w:rFonts w:ascii="Times New Roman" w:hAnsi="Times New Roman"/>
          <w:b/>
          <w:color w:val="000000"/>
          <w:sz w:val="24"/>
        </w:rPr>
        <w:t>Licenses</w:t>
      </w:r>
      <w:r>
        <w:rPr>
          <w:color w:val="000000"/>
        </w:rPr>
        <w:t>”</w:t>
      </w:r>
      <w:r>
        <w:rPr>
          <w:rFonts w:ascii="Times New Roman" w:hAnsi="Times New Roman"/>
          <w:color w:val="000000"/>
          <w:sz w:val="24"/>
        </w:rPr>
        <w:t>), including, without limitation, all Licenses required by the Drug Regulatory Agencies. All such Licenses are in full force and effect and the Company is not in violation of any term or conditions of any such License. Each of the Company and its subsidiaries and has fulfilled and performed all of its respective obligations with respect to such Licenses and, no event has occurred which allows, or after notice or lapse of time would allow, revocation or termination thereof or results in any other impairment of the rights of the holder of any such License. The Company has not received any written notice of proceedings from the applicable Drug Regulatory Agency proposing to revoke or materially adversely modify any such Licenses and, to the Company’s knowledge, no Drug Regulatory Agency has taken any action to limit, suspend or revoke any such License possessed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3.22</w:t>
      </w:r>
    </w:p>
    <w:p>
      <w:pPr>
        <w:pStyle w:val="TextBody"/>
        <w:bidi w:val="0"/>
        <w:spacing w:before="0" w:after="240"/>
        <w:jc w:val="both"/>
        <w:rPr/>
      </w:pPr>
      <w:r>
        <w:rPr>
          <w:rFonts w:ascii="Times New Roman" w:hAnsi="Times New Roman"/>
          <w:color w:val="000000"/>
          <w:sz w:val="24"/>
          <w:u w:val="single"/>
        </w:rPr>
        <w:t>Accounting Controls and Disclosure Controls and Procedures</w:t>
      </w:r>
      <w:r>
        <w:rPr>
          <w:rFonts w:ascii="Times New Roman" w:hAnsi="Times New Roman"/>
          <w:color w:val="000000"/>
          <w:sz w:val="24"/>
        </w:rPr>
        <w:t>. The Company maintains a system of internal control over financial reporting (as defined in Rules 13a-15(f) and 15d-15(f) of the Exchange Act) that is designed to comply with the requirements of the Exchange Act applicable to the Company and provide reasonable assurance regarding the reliability of financial reporting and the preparation of financial statements for external purposes in accordance with GAAP, including policies and procedures sufficient to provide reasonable assurance (i) that the Company maintains records that in reasonable detail accurately and fairly reflect the Company’s transactions and dispositions of assets, (ii) that transactions are recorded as necessary to permit preparation of financial statements in accordance with GAAP, (iii) that receipts and expenditures are made only in accordance with authorizations of management and the Board of Directors and (iv) regarding prevention or timely detection of the unauthorized acquisition, use or disposition of the Company’s assets that could have a material effect on the Company’s financial statements. Except as disclosed in the Company’s SEC Reports filed prior to the date of this Agreement, the Company has not identified any material weaknesses in the design or operation of the Company’s internal control over financial reporting. The Company’s “disclosure controls and procedures” (as defined in Rules 13a-15(e) and 15d-15(e) of the Exchange Act) are designed to provide reasonable assurance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3.23</w:t>
      </w:r>
    </w:p>
    <w:p>
      <w:pPr>
        <w:pStyle w:val="TextBody"/>
        <w:bidi w:val="0"/>
        <w:spacing w:before="0" w:after="240"/>
        <w:jc w:val="both"/>
        <w:rPr/>
      </w:pPr>
      <w:r>
        <w:rPr>
          <w:rFonts w:ascii="Times New Roman" w:hAnsi="Times New Roman"/>
          <w:color w:val="000000"/>
          <w:sz w:val="24"/>
          <w:u w:val="single"/>
        </w:rPr>
        <w:t>Price Stabilization of Common Stock</w:t>
      </w:r>
      <w:r>
        <w:rPr>
          <w:rFonts w:ascii="Times New Roman" w:hAnsi="Times New Roman"/>
          <w:color w:val="000000"/>
          <w:sz w:val="24"/>
        </w:rPr>
        <w:t>. The Company has not taken, nor will it take, directly or indirectly, any action designed to stabilize or manipulate the price of the Common Stock to facilitate the sale or resale of the Shares.</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3.24</w:t>
      </w:r>
    </w:p>
    <w:p>
      <w:pPr>
        <w:pStyle w:val="TextBody"/>
        <w:bidi w:val="0"/>
        <w:spacing w:before="0" w:after="240"/>
        <w:jc w:val="both"/>
        <w:rPr/>
      </w:pPr>
      <w:r>
        <w:rPr>
          <w:rFonts w:ascii="Times New Roman" w:hAnsi="Times New Roman"/>
          <w:color w:val="000000"/>
          <w:sz w:val="24"/>
          <w:u w:val="single"/>
        </w:rPr>
        <w:t>Investment Company Act</w:t>
      </w:r>
      <w:r>
        <w:rPr>
          <w:rFonts w:ascii="Times New Roman" w:hAnsi="Times New Roman"/>
          <w:color w:val="000000"/>
          <w:sz w:val="24"/>
        </w:rPr>
        <w:t>. The Company is not, and immediately after receipt of payment for the Shares will not be, an “investment company” within the meaning of the U.S. Investment Company Act of 1940, as amended.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3.25</w:t>
      </w:r>
    </w:p>
    <w:p>
      <w:pPr>
        <w:pStyle w:val="TextBody"/>
        <w:bidi w:val="0"/>
        <w:spacing w:before="0" w:after="240"/>
        <w:jc w:val="both"/>
        <w:rPr/>
      </w:pPr>
      <w:r>
        <w:rPr>
          <w:rFonts w:ascii="Times New Roman" w:hAnsi="Times New Roman"/>
          <w:color w:val="000000"/>
          <w:sz w:val="24"/>
          <w:u w:val="single"/>
        </w:rPr>
        <w:t>General Solicitation; No Integration or Aggregation</w:t>
      </w:r>
      <w:r>
        <w:rPr>
          <w:rFonts w:ascii="Times New Roman" w:hAnsi="Times New Roman"/>
          <w:color w:val="000000"/>
          <w:sz w:val="24"/>
        </w:rPr>
        <w:t xml:space="preserve">. Neither the Company nor any other person or entity authorized by the Company to act on its behalf has engaged in a general solicitation or general advertising (within the meaning of Regulation D of the Securities Act) of investors with respect to offers or sales of Shares pursuant to this Agreement. The Company has not, directly or indirectly, sold, offered for sale, solicited offers to buy or otherwise negotiated in respect of, any security (as defined in the Securities Act) which, to its knowledge, is or will be (i) integrated with the offer and sale of the Shares pursuant to this Agreement for purposes of the Securities Act or (ii) aggregated with prior offerings by the Company for the purposes of the rules and regulations of the Nasdaq Global Select Market. Assuming the accuracy of the representations and warranties of the Investors set forth in </w:t>
      </w:r>
      <w:r>
        <w:rPr>
          <w:rFonts w:ascii="Times New Roman" w:hAnsi="Times New Roman"/>
          <w:color w:val="000000"/>
          <w:sz w:val="24"/>
          <w:u w:val="single"/>
        </w:rPr>
        <w:t>Section 4</w:t>
      </w:r>
      <w:r>
        <w:rPr>
          <w:rFonts w:ascii="Times New Roman" w:hAnsi="Times New Roman"/>
          <w:color w:val="000000"/>
          <w:sz w:val="24"/>
        </w:rPr>
        <w:t>,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for the exemption from registration for the transactions contemplated hereby.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3.26</w:t>
      </w:r>
    </w:p>
    <w:p>
      <w:pPr>
        <w:pStyle w:val="TextBody"/>
        <w:bidi w:val="0"/>
        <w:spacing w:before="0" w:after="240"/>
        <w:jc w:val="both"/>
        <w:rPr/>
      </w:pPr>
      <w:r>
        <w:rPr>
          <w:rFonts w:ascii="Times New Roman" w:hAnsi="Times New Roman"/>
          <w:color w:val="000000"/>
          <w:sz w:val="24"/>
          <w:u w:val="single"/>
        </w:rPr>
        <w:t>Brokers and Finders</w:t>
      </w:r>
      <w:r>
        <w:rPr>
          <w:rFonts w:ascii="Times New Roman" w:hAnsi="Times New Roman"/>
          <w:color w:val="000000"/>
          <w:sz w:val="24"/>
        </w:rPr>
        <w:t>. Neither the Company nor any other Person authorized by the Company to act on its behalf has retained, utilized or been represented by any broker or finder in connection with the transactions contemplated by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3.27</w:t>
      </w:r>
    </w:p>
    <w:p>
      <w:pPr>
        <w:pStyle w:val="TextBody"/>
        <w:bidi w:val="0"/>
        <w:spacing w:before="0" w:after="240"/>
        <w:jc w:val="both"/>
        <w:rPr/>
      </w:pPr>
      <w:r>
        <w:rPr>
          <w:rFonts w:ascii="Times New Roman" w:hAnsi="Times New Roman"/>
          <w:color w:val="000000"/>
          <w:sz w:val="24"/>
          <w:u w:val="single"/>
        </w:rPr>
        <w:t>Reliance by the Investors</w:t>
      </w:r>
      <w:r>
        <w:rPr>
          <w:rFonts w:ascii="Times New Roman" w:hAnsi="Times New Roman"/>
          <w:color w:val="000000"/>
          <w:sz w:val="24"/>
        </w:rPr>
        <w:t xml:space="preserve">. The Company has a reasonable basis for making each of the representations set forth in this </w:t>
      </w:r>
      <w:r>
        <w:rPr>
          <w:rFonts w:ascii="Times New Roman" w:hAnsi="Times New Roman"/>
          <w:color w:val="000000"/>
          <w:sz w:val="24"/>
          <w:u w:val="single"/>
        </w:rPr>
        <w:t>Section 3</w:t>
      </w:r>
      <w:r>
        <w:rPr>
          <w:rFonts w:ascii="Times New Roman" w:hAnsi="Times New Roman"/>
          <w:color w:val="000000"/>
          <w:sz w:val="24"/>
        </w:rPr>
        <w:t xml:space="preserve">. The Company acknowledges that each of the Investors will rely upon the truth and accuracy of, and the Company’s compliance with, the representations, warranties, agreements, acknowledgements and understandings of the Company set forth herein.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3.28</w:t>
      </w:r>
    </w:p>
    <w:p>
      <w:pPr>
        <w:pStyle w:val="TextBody"/>
        <w:bidi w:val="0"/>
        <w:spacing w:before="0" w:after="240"/>
        <w:jc w:val="both"/>
        <w:rPr/>
      </w:pPr>
      <w:r>
        <w:rPr>
          <w:rFonts w:ascii="Times New Roman" w:hAnsi="Times New Roman"/>
          <w:color w:val="000000"/>
          <w:sz w:val="24"/>
          <w:u w:val="single"/>
        </w:rPr>
        <w:t>No Additional Agreements</w:t>
      </w:r>
      <w:r>
        <w:rPr>
          <w:rFonts w:ascii="Times New Roman" w:hAnsi="Times New Roman"/>
          <w:color w:val="000000"/>
          <w:sz w:val="24"/>
        </w:rPr>
        <w:t>. There are no agreements or understandings between the Company and any Investor with respect to the transactions contemplated by the Transaction Agreements other than (i) as specified in the Transaction Agreements and (ii) any side letter agreements with any of the Investors, which side letters the Company has shared with all Investors.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3.29</w:t>
      </w:r>
    </w:p>
    <w:p>
      <w:pPr>
        <w:pStyle w:val="TextBody"/>
        <w:bidi w:val="0"/>
        <w:spacing w:before="0" w:after="240"/>
        <w:jc w:val="both"/>
        <w:rPr/>
      </w:pPr>
      <w:r>
        <w:rPr>
          <w:rFonts w:ascii="Times New Roman" w:hAnsi="Times New Roman"/>
          <w:color w:val="000000"/>
          <w:sz w:val="24"/>
          <w:u w:val="single"/>
        </w:rPr>
        <w:t>Anti-Bribery and Anti-Money Laundering Laws</w:t>
      </w:r>
      <w:r>
        <w:rPr>
          <w:rFonts w:ascii="Times New Roman" w:hAnsi="Times New Roman"/>
          <w:color w:val="000000"/>
          <w:sz w:val="24"/>
        </w:rPr>
        <w:t xml:space="preserve">. Each of the Company, its subsidiaries and, to the knowledge of the Company, any of their respective officers, directors, supervisors, managers, agents, or employees are and have at all times been in compliance with and its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or (C) except as would not reasonably be expected, individually or in the aggregate, to result in a Material Adverse Effect,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 Control.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3.30</w:t>
      </w:r>
    </w:p>
    <w:p>
      <w:pPr>
        <w:pStyle w:val="TextBody"/>
        <w:bidi w:val="0"/>
        <w:spacing w:before="0" w:after="240"/>
        <w:jc w:val="both"/>
        <w:rPr/>
      </w:pPr>
      <w:r>
        <w:rPr>
          <w:rFonts w:ascii="Times New Roman" w:hAnsi="Times New Roman"/>
          <w:color w:val="000000"/>
          <w:sz w:val="24"/>
          <w:u w:val="single"/>
        </w:rPr>
        <w:t>Cybersecurity</w:t>
      </w:r>
      <w:r>
        <w:rPr>
          <w:rFonts w:ascii="Times New Roman" w:hAnsi="Times New Roman"/>
          <w:color w:val="000000"/>
          <w:sz w:val="24"/>
        </w:rPr>
        <w:t>. The Company and its subsidiaries’ information technology assets and equipment, computers, systems, networks, hardware, software, websites, applications, and databases (collectively, “</w:t>
      </w:r>
      <w:r>
        <w:rPr>
          <w:rFonts w:ascii="Times New Roman" w:hAnsi="Times New Roman"/>
          <w:b/>
          <w:color w:val="000000"/>
          <w:sz w:val="24"/>
        </w:rPr>
        <w:t>IT Systems</w:t>
      </w:r>
      <w:r>
        <w:rPr>
          <w:color w:val="000000"/>
        </w:rPr>
        <w:t>”</w:t>
      </w:r>
      <w:r>
        <w:rPr>
          <w:rFonts w:ascii="Times New Roman" w:hAnsi="Times New Roman"/>
          <w:color w:val="000000"/>
          <w:sz w:val="24"/>
        </w:rPr>
        <w:t>) are adequate for, and operate and perform in all material respects as required in connection with the operation of the business of the Company and its subsidiaries as currently conducted, and are free and clear of all material Trojan horses, time bombs, malware and other malicious code. The Company and its subsidiaries have implemented and maintained commercially reasonable physical, technical and administrative controls designed to maintain and protect the confidentiality, integrity, availability, privacy and security of all sensitive, confidential or regulated data (“</w:t>
      </w:r>
      <w:r>
        <w:rPr>
          <w:rFonts w:ascii="Times New Roman" w:hAnsi="Times New Roman"/>
          <w:b/>
          <w:color w:val="000000"/>
          <w:sz w:val="24"/>
        </w:rPr>
        <w:t>Confidential Data</w:t>
      </w:r>
      <w:r>
        <w:rPr>
          <w:color w:val="000000"/>
        </w:rPr>
        <w:t>”</w:t>
      </w:r>
      <w:r>
        <w:rPr>
          <w:rFonts w:ascii="Times New Roman" w:hAnsi="Times New Roman"/>
          <w:color w:val="000000"/>
          <w:sz w:val="24"/>
        </w:rPr>
        <w:t>) used or maintained in connection with their businesses and Personal Data (defined below), and the integrity, availability continuous operation, redundancy and security of all IT Systems. “</w:t>
      </w:r>
      <w:r>
        <w:rPr>
          <w:rFonts w:ascii="Times New Roman" w:hAnsi="Times New Roman"/>
          <w:b/>
          <w:color w:val="000000"/>
          <w:sz w:val="24"/>
        </w:rPr>
        <w:t>Personal Data</w:t>
      </w:r>
      <w:r>
        <w:rPr>
          <w:color w:val="000000"/>
        </w:rPr>
        <w:t xml:space="preserve">” </w:t>
      </w:r>
      <w:r>
        <w:rPr>
          <w:rFonts w:ascii="Times New Roman" w:hAnsi="Times New Roman"/>
          <w:color w:val="000000"/>
          <w:sz w:val="24"/>
        </w:rPr>
        <w:t xml:space="preserve">means the following data used in connection with the Company’s and its subsidiaries’ businesses and in their possession or control: (i) a natural person’s name, street address, telephone number, e-mail address, photograph, social security number or other tax identification number, driver’s license number, passport number, credit card number or bank information; (ii) information that identifies or may reasonably be used to identify an individual; (iii) any information that would qualify as “protected health information” under HIPAA; and (iv) any information that would qualify as “personal data,” “personal information” (or similar term) under the Privacy Laws. To the Company’s knowledge, there have been no breaches, outages or unauthorized uses of or accesses to the Company’s IT Systems, Confidential Data, or Personal Data that would require notification under Privacy Laws (as defined below).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3.31</w:t>
      </w:r>
    </w:p>
    <w:p>
      <w:pPr>
        <w:pStyle w:val="TextBody"/>
        <w:bidi w:val="0"/>
        <w:spacing w:before="0" w:after="240"/>
        <w:jc w:val="both"/>
        <w:rPr/>
      </w:pPr>
      <w:r>
        <w:rPr>
          <w:rFonts w:ascii="Times New Roman" w:hAnsi="Times New Roman"/>
          <w:color w:val="000000"/>
          <w:sz w:val="24"/>
          <w:u w:val="single"/>
        </w:rPr>
        <w:t>Compliance with Data Privacy Laws</w:t>
      </w:r>
      <w:r>
        <w:rPr>
          <w:rFonts w:ascii="Times New Roman" w:hAnsi="Times New Roman"/>
          <w:color w:val="000000"/>
          <w:sz w:val="24"/>
        </w:rPr>
        <w:t>. The Company and its subsidiaries are, and at all prior times were, in material compliance with all applicable state, federal and foreign data privacy and security laws and regulations regarding the collection, use, storage, retention, disclosure, transfer, disposal, or any other processing (collectively “</w:t>
      </w:r>
      <w:r>
        <w:rPr>
          <w:rFonts w:ascii="Times New Roman" w:hAnsi="Times New Roman"/>
          <w:b/>
          <w:color w:val="000000"/>
          <w:sz w:val="24"/>
        </w:rPr>
        <w:t>Process</w:t>
      </w:r>
      <w:r>
        <w:rPr>
          <w:color w:val="000000"/>
        </w:rPr>
        <w:t xml:space="preserve">” </w:t>
      </w:r>
      <w:r>
        <w:rPr>
          <w:rFonts w:ascii="Times New Roman" w:hAnsi="Times New Roman"/>
          <w:color w:val="000000"/>
          <w:sz w:val="24"/>
        </w:rPr>
        <w:t>or “</w:t>
      </w:r>
      <w:r>
        <w:rPr>
          <w:rFonts w:ascii="Times New Roman" w:hAnsi="Times New Roman"/>
          <w:b/>
          <w:color w:val="000000"/>
          <w:sz w:val="24"/>
        </w:rPr>
        <w:t>Processing</w:t>
      </w:r>
      <w:r>
        <w:rPr>
          <w:color w:val="000000"/>
        </w:rPr>
        <w:t>”</w:t>
      </w:r>
      <w:r>
        <w:rPr>
          <w:rFonts w:ascii="Times New Roman" w:hAnsi="Times New Roman"/>
          <w:color w:val="000000"/>
          <w:sz w:val="24"/>
        </w:rPr>
        <w:t>) of Personal Data, including without limitation HIPAA, the EU General Data Protection Regulation (“</w:t>
      </w:r>
      <w:r>
        <w:rPr>
          <w:rFonts w:ascii="Times New Roman" w:hAnsi="Times New Roman"/>
          <w:b/>
          <w:color w:val="000000"/>
          <w:sz w:val="24"/>
        </w:rPr>
        <w:t>GDPR</w:t>
      </w:r>
      <w:r>
        <w:rPr>
          <w:color w:val="000000"/>
        </w:rPr>
        <w:t>”</w:t>
      </w:r>
      <w:r>
        <w:rPr>
          <w:rFonts w:ascii="Times New Roman" w:hAnsi="Times New Roman"/>
          <w:color w:val="000000"/>
          <w:sz w:val="24"/>
        </w:rPr>
        <w:t>) (Regulation (EU) No. 2016/679), all other local, state, federal, national, supranational and foreign laws relating to the regulation of the Company or its subsidiaries, and the regulations promulgated pursuant to such statutes and any state or non-U.S. counterpart thereof (collectively, the “</w:t>
      </w:r>
      <w:r>
        <w:rPr>
          <w:rFonts w:ascii="Times New Roman" w:hAnsi="Times New Roman"/>
          <w:b/>
          <w:color w:val="000000"/>
          <w:sz w:val="24"/>
        </w:rPr>
        <w:t>Privacy Laws</w:t>
      </w:r>
      <w:r>
        <w:rPr>
          <w:color w:val="000000"/>
        </w:rPr>
        <w:t>”</w:t>
      </w:r>
      <w:r>
        <w:rPr>
          <w:rFonts w:ascii="Times New Roman" w:hAnsi="Times New Roman"/>
          <w:color w:val="000000"/>
          <w:sz w:val="24"/>
        </w:rPr>
        <w:t>). To ensure material compliance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w:t>
      </w:r>
      <w:r>
        <w:rPr>
          <w:rFonts w:ascii="Times New Roman" w:hAnsi="Times New Roman"/>
          <w:b/>
          <w:color w:val="000000"/>
          <w:sz w:val="24"/>
        </w:rPr>
        <w:t>Privacy Statements</w:t>
      </w:r>
      <w:r>
        <w:rPr>
          <w:color w:val="000000"/>
        </w:rPr>
        <w:t>”</w:t>
      </w:r>
      <w:r>
        <w:rPr>
          <w:rFonts w:ascii="Times New Roman" w:hAnsi="Times New Roman"/>
          <w:color w:val="000000"/>
          <w:sz w:val="24"/>
        </w:rPr>
        <w:t xml:space="preserve">). The Company and its subsidiaries have, except as would not reasonably be expected, individually or in the aggregate, to result in a Material Adverse Effect, at all times since inception provided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accurate notice of their Privacy Statements then in effect to its customers, employees, third party vendors and representatives. None of such disclosures made or contained in any Privacy Statements have been materially inaccurate, misleading, incomplete, or in material violation of any Privacy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3.32</w:t>
      </w:r>
    </w:p>
    <w:p>
      <w:pPr>
        <w:pStyle w:val="TextBody"/>
        <w:bidi w:val="0"/>
        <w:spacing w:before="0" w:after="240"/>
        <w:jc w:val="both"/>
        <w:rPr/>
      </w:pPr>
      <w:r>
        <w:rPr>
          <w:rFonts w:ascii="Times New Roman" w:hAnsi="Times New Roman"/>
          <w:color w:val="000000"/>
          <w:sz w:val="24"/>
          <w:u w:val="single"/>
        </w:rPr>
        <w:t>Transactions with Affiliates and Employees</w:t>
      </w:r>
      <w:r>
        <w:rPr>
          <w:rFonts w:ascii="Times New Roman" w:hAnsi="Times New Roman"/>
          <w:color w:val="000000"/>
          <w:sz w:val="24"/>
        </w:rPr>
        <w:t>. No relationship, direct or indirect, exists between or among the Company or any of its subsidiaries, on the one hand, and the directors, officers, stockholders, customers or suppliers of the Company, on the other hand, that is required to be described in the SEC Reports that is not so described.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4"/>
          <w:u w:val="single"/>
        </w:rPr>
        <w:t>Representations and Warranties of Each Investor</w:t>
      </w:r>
      <w:r>
        <w:rPr>
          <w:rFonts w:ascii="Times New Roman" w:hAnsi="Times New Roman"/>
          <w:color w:val="000000"/>
          <w:sz w:val="24"/>
        </w:rPr>
        <w:t xml:space="preserve">. Each Investor, severally for itself and not jointly with any other Investor, represents and warrants to the Company that the statements contained in this </w:t>
      </w:r>
      <w:r>
        <w:rPr>
          <w:rFonts w:ascii="Times New Roman" w:hAnsi="Times New Roman"/>
          <w:color w:val="000000"/>
          <w:sz w:val="24"/>
          <w:u w:val="single"/>
        </w:rPr>
        <w:t>Section 4</w:t>
      </w:r>
      <w:r>
        <w:rPr>
          <w:color w:val="000000"/>
        </w:rPr>
        <w:t xml:space="preserve"> </w:t>
      </w:r>
      <w:r>
        <w:rPr>
          <w:rFonts w:ascii="Times New Roman" w:hAnsi="Times New Roman"/>
          <w:color w:val="000000"/>
          <w:sz w:val="24"/>
        </w:rPr>
        <w:t>are true and correct as of the date of this Agreement and the Closing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w:t>
      </w:r>
    </w:p>
    <w:p>
      <w:pPr>
        <w:pStyle w:val="TextBody"/>
        <w:bidi w:val="0"/>
        <w:spacing w:before="0" w:after="240"/>
        <w:jc w:val="both"/>
        <w:rPr/>
      </w:pPr>
      <w:r>
        <w:rPr>
          <w:rFonts w:ascii="Times New Roman" w:hAnsi="Times New Roman"/>
          <w:color w:val="000000"/>
          <w:sz w:val="24"/>
          <w:u w:val="single"/>
        </w:rPr>
        <w:t>Organization</w:t>
      </w:r>
      <w:r>
        <w:rPr>
          <w:rFonts w:ascii="Times New Roman" w:hAnsi="Times New Roman"/>
          <w:color w:val="000000"/>
          <w:sz w:val="24"/>
        </w:rPr>
        <w:t>. The Investor is duly organized, validly existing and in good standing under the laws of the jurisdiction of its organization and has the requisite power and authority to own, lease and operate its properties and to carry on its business as now conducted.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4.2</w:t>
      </w:r>
    </w:p>
    <w:p>
      <w:pPr>
        <w:pStyle w:val="TextBody"/>
        <w:bidi w:val="0"/>
        <w:spacing w:before="0" w:after="240"/>
        <w:jc w:val="both"/>
        <w:rPr/>
      </w:pPr>
      <w:r>
        <w:rPr>
          <w:rFonts w:ascii="Times New Roman" w:hAnsi="Times New Roman"/>
          <w:color w:val="000000"/>
          <w:sz w:val="24"/>
          <w:u w:val="single"/>
        </w:rPr>
        <w:t>Authorization</w:t>
      </w:r>
      <w:r>
        <w:rPr>
          <w:rFonts w:ascii="Times New Roman" w:hAnsi="Times New Roman"/>
          <w:color w:val="000000"/>
          <w:sz w:val="24"/>
        </w:rPr>
        <w:t>. The Investor has all requisite corporate or similar power and authority to enter into this Agreement and the other Transaction Agreements to which it will be a party and to carry out and perform its obligations hereunder and thereunder. All corporate, member or partnership action on the part of such Investor or its stockholders, members or partners necessary for the authorization, execution, delivery and performance of this Agreement and the other Transaction Agreements to which it will be a party and the consummation of the other transactions contemplated in this Agreement has been taken. The execution, delivery and performance by such Investor of the Transaction Agreements to which such Investor is a party has been duly authorized and each has been duly executed. Assuming this Agreement constitutes the legal and binding agreement of the Company, this Agreement constitutes a legal, valid and binding obligation of such Investor, enforceable against such Investor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4.3</w:t>
      </w:r>
    </w:p>
    <w:p>
      <w:pPr>
        <w:pStyle w:val="TextBody"/>
        <w:bidi w:val="0"/>
        <w:spacing w:before="0" w:after="240"/>
        <w:jc w:val="both"/>
        <w:rPr/>
      </w:pPr>
      <w:r>
        <w:rPr>
          <w:rFonts w:ascii="Times New Roman" w:hAnsi="Times New Roman"/>
          <w:color w:val="000000"/>
          <w:sz w:val="24"/>
          <w:u w:val="single"/>
        </w:rPr>
        <w:t>No Conflicts</w:t>
      </w:r>
      <w:r>
        <w:rPr>
          <w:rFonts w:ascii="Times New Roman" w:hAnsi="Times New Roman"/>
          <w:color w:val="000000"/>
          <w:sz w:val="24"/>
        </w:rPr>
        <w:t xml:space="preserve">. The execution, delivery and performance of the Transaction Agreements by the Investor, the purchase of the Shares in accordance with their terms and the consummation by the Investor of the other transactions contemplated hereby will not conflict with or result in any violation of, breach or default by such Investor (with or without notice or lapse of time, or both) under, conflict with, or give rise to a right of termination, cancellation or acceleration of any obligation, a change of control right or to a loss of a material benefit under (i) any provision of the organizational documents of the Investor,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such Investor or its respective properties or assets, except, in the case of clause (ii), as would not, individually or in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aggregate, be reasonably expected to materially delay or hinder the ability of the Investor to perform its obligations under the Transaction Agreements.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4.4</w:t>
      </w:r>
    </w:p>
    <w:p>
      <w:pPr>
        <w:pStyle w:val="TextBody"/>
        <w:bidi w:val="0"/>
        <w:spacing w:before="0" w:after="240"/>
        <w:jc w:val="both"/>
        <w:rPr/>
      </w:pPr>
      <w:r>
        <w:rPr>
          <w:rFonts w:ascii="Times New Roman" w:hAnsi="Times New Roman"/>
          <w:color w:val="000000"/>
          <w:sz w:val="24"/>
          <w:u w:val="single"/>
        </w:rPr>
        <w:t>Residency</w:t>
      </w:r>
      <w:r>
        <w:rPr>
          <w:rFonts w:ascii="Times New Roman" w:hAnsi="Times New Roman"/>
          <w:color w:val="000000"/>
          <w:sz w:val="24"/>
        </w:rPr>
        <w:t xml:space="preserve">. The Investor’s residence (if an individual) or offices in which its investment decision with respect to the Shares was made (if an entity) are located at the address immediately below the Investor’s name on the signature pages hereto or </w:t>
      </w:r>
      <w:r>
        <w:rPr>
          <w:rFonts w:ascii="Times New Roman" w:hAnsi="Times New Roman"/>
          <w:color w:val="000000"/>
          <w:sz w:val="24"/>
          <w:u w:val="single"/>
        </w:rPr>
        <w:t>Exhibit A</w:t>
      </w:r>
      <w:r>
        <w:rPr>
          <w:rFonts w:ascii="Times New Roman" w:hAnsi="Times New Roman"/>
          <w:color w:val="000000"/>
          <w:sz w:val="24"/>
        </w:rPr>
        <w:t>, except as otherwise communicated by the Investor to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4.5</w:t>
      </w:r>
    </w:p>
    <w:p>
      <w:pPr>
        <w:pStyle w:val="TextBody"/>
        <w:bidi w:val="0"/>
        <w:spacing w:before="0" w:after="240"/>
        <w:jc w:val="both"/>
        <w:rPr/>
      </w:pPr>
      <w:r>
        <w:rPr>
          <w:rFonts w:ascii="Times New Roman" w:hAnsi="Times New Roman"/>
          <w:color w:val="000000"/>
          <w:sz w:val="24"/>
          <w:u w:val="single"/>
        </w:rPr>
        <w:t>Brokers and Finders</w:t>
      </w:r>
      <w:r>
        <w:rPr>
          <w:rFonts w:ascii="Times New Roman" w:hAnsi="Times New Roman"/>
          <w:color w:val="000000"/>
          <w:sz w:val="24"/>
        </w:rPr>
        <w:t>. The Investor has not retained, utilized or been represented by any broker or finder in connection with the transactions contemplated by this Agreement whose fees the Company would be required to pay.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4.6</w:t>
      </w:r>
    </w:p>
    <w:p>
      <w:pPr>
        <w:pStyle w:val="TextBody"/>
        <w:bidi w:val="0"/>
        <w:spacing w:before="0" w:after="240"/>
        <w:jc w:val="both"/>
        <w:rPr/>
      </w:pPr>
      <w:r>
        <w:rPr>
          <w:rFonts w:ascii="Times New Roman" w:hAnsi="Times New Roman"/>
          <w:color w:val="000000"/>
          <w:sz w:val="24"/>
          <w:u w:val="single"/>
        </w:rPr>
        <w:t>Investment Representations and Warranties</w:t>
      </w:r>
      <w:r>
        <w:rPr>
          <w:rFonts w:ascii="Times New Roman" w:hAnsi="Times New Roman"/>
          <w:color w:val="000000"/>
          <w:sz w:val="24"/>
        </w:rPr>
        <w:t>. The Investor hereby represents and warrants that, it (i) as of the date of this Agreement is, if an entity, a “qualified institutional buyer” (as defined in Rule 144A under the Securities Act) or an institutional “accredited investor” as that term is defined in Rule 501(a) under Regulation D promulgated pursuant to the Securities Act; or (ii) if an individual, is an “accredited investor” as that term is defined in Rule 501(a) of Regulation D of the Securities Act and has such knowledge and experience in financial and business matters as to be able to protect its own interests in connection with an investment in the Shares. The Investor further represents and warrants that (x) it is capable of evaluating the merits and risk of such investment, and (y) that it has not been organized for the purpose of acquiring the Shares and is an “institutional account” as defined by FINRA Rule 4512(c). The Investor understands and agrees that the offering and sale of the Shares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the Investor’s representations as expressed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4.7</w:t>
      </w:r>
    </w:p>
    <w:p>
      <w:pPr>
        <w:pStyle w:val="TextBody"/>
        <w:bidi w:val="0"/>
        <w:spacing w:before="0" w:after="240"/>
        <w:jc w:val="both"/>
        <w:rPr/>
      </w:pPr>
      <w:r>
        <w:rPr>
          <w:rFonts w:ascii="Times New Roman" w:hAnsi="Times New Roman"/>
          <w:color w:val="000000"/>
          <w:sz w:val="24"/>
          <w:u w:val="single"/>
        </w:rPr>
        <w:t>Intent</w:t>
      </w:r>
      <w:r>
        <w:rPr>
          <w:rFonts w:ascii="Times New Roman" w:hAnsi="Times New Roman"/>
          <w:color w:val="000000"/>
          <w:sz w:val="24"/>
        </w:rPr>
        <w:t>. The Investor is purchasing the Shares solely for the Investor’s own account and not for the account of others, and not with a view to the resale or distribution of any part thereof in violation of the Securities Act, and the Investor has no present intention of selling, granting any participation in, or otherwise distributing the same in violation of the Securities Act without prejudice, however, to the Investor’s right at all times to sell or otherwise dispose of all or any part of such Shares in compliance with applicable federal and state securities laws. Notwithstanding the foregoing, if the Investor is purchasing the Shares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The Investor has no present arrangement to sell the Shares to or through any person or entity. The Investor understands that the Shares must be held indefinitely unless such Shares are resold pursuant to a registration statement under the Securities Act or an exemption from registration is available. Nothing contained herein shall be deemed a representation or warranty by the Investor to hold the Shares for any period of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4.8</w:t>
      </w:r>
    </w:p>
    <w:p>
      <w:pPr>
        <w:pStyle w:val="TextBody"/>
        <w:bidi w:val="0"/>
        <w:spacing w:before="0" w:after="240"/>
        <w:jc w:val="both"/>
        <w:rPr/>
      </w:pPr>
      <w:r>
        <w:rPr>
          <w:rFonts w:ascii="Times New Roman" w:hAnsi="Times New Roman"/>
          <w:color w:val="000000"/>
          <w:sz w:val="24"/>
          <w:u w:val="single"/>
        </w:rPr>
        <w:t>Investment Experience; Ability to Protect Its Own Interests and Bear Economic Risks</w:t>
      </w:r>
      <w:r>
        <w:rPr>
          <w:rFonts w:ascii="Times New Roman" w:hAnsi="Times New Roman"/>
          <w:color w:val="000000"/>
          <w:sz w:val="24"/>
        </w:rPr>
        <w:t xml:space="preserve">. The Investor acknowledges that it can bear the economic risk and complete loss of its investment in the Shares and has knowledge and experience in finance, securities, taxation,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investments and other business matters as to be capable of evaluating the merits and risks of investments of the kind described in this Agreement and contemplated hereby, and the Investor has had an opportunity to seek, and has sought, such accounting, legal, business and tax advice as the Investor has considered necessary to make an informed investment decision. The Investor acknowledges that the Investor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purchase of the Shares. The Investor acknowledges that the Investor is aware that there are substantial risks incident to the purchase and ownership of the Shares, including those set forth in the Company’s filings with the SEC. Alone, or together with any professional advisor(s), the Investor has adequately analyzed and fully considered the risks of an investment in the Shares and determined that the Shares are a suitable investment for the Investor. The Investor is, at this time and in the foreseeable future, able to afford the loss of the Investor’s entire investment in the Shares and the Investor acknowledges specifically that a possibility of total loss exists.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4.9</w:t>
      </w:r>
    </w:p>
    <w:p>
      <w:pPr>
        <w:pStyle w:val="TextBody"/>
        <w:bidi w:val="0"/>
        <w:spacing w:before="0" w:after="240"/>
        <w:jc w:val="both"/>
        <w:rPr/>
      </w:pPr>
      <w:r>
        <w:rPr>
          <w:rFonts w:ascii="Times New Roman" w:hAnsi="Times New Roman"/>
          <w:color w:val="000000"/>
          <w:sz w:val="24"/>
          <w:u w:val="single"/>
        </w:rPr>
        <w:t>Independent Investment Decision</w:t>
      </w:r>
      <w:r>
        <w:rPr>
          <w:rFonts w:ascii="Times New Roman" w:hAnsi="Times New Roman"/>
          <w:color w:val="000000"/>
          <w:sz w:val="24"/>
        </w:rPr>
        <w:t>. The Investor understands that nothing in the Transaction Agreements or any other materials presented by or on behalf of the Company to the Investor in connection with the purchase of the Shares constitutes legal, tax or investment advice. The Investor has consulted such legal, tax and investment advisors as it, in such Investor’s sole discretion, has deemed necessary or appropriate in connection with its purchase of the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4.10</w:t>
      </w:r>
    </w:p>
    <w:p>
      <w:pPr>
        <w:pStyle w:val="TextBody"/>
        <w:bidi w:val="0"/>
        <w:spacing w:before="0" w:after="240"/>
        <w:jc w:val="both"/>
        <w:rPr/>
      </w:pPr>
      <w:r>
        <w:rPr>
          <w:rFonts w:ascii="Times New Roman" w:hAnsi="Times New Roman"/>
          <w:color w:val="000000"/>
          <w:sz w:val="24"/>
          <w:u w:val="single"/>
        </w:rPr>
        <w:t>Securities Not Registered; Legends</w:t>
      </w:r>
      <w:r>
        <w:rPr>
          <w:rFonts w:ascii="Times New Roman" w:hAnsi="Times New Roman"/>
          <w:color w:val="000000"/>
          <w:sz w:val="24"/>
        </w:rPr>
        <w:t>. The Investor acknowledges and agrees that the Shares are being offered in a transaction not involving any public offering within the meaning of the Securities Act, and the Investor understands that the Shares have not been registered under the Securities Act, by reason of their issuance by the Company in a transaction exempt from the registration requirements of the Securities Act, and that the Shares must continue to be held and may not be offered, resold, transferred, pledged or otherwise disposed of by the Investor unless a subsequent disposition thereof is registered under the Securities Act or is exempt from such registration and in each case in accordance with any applicable securities laws of any state of the United States. The Investor understands that the exemptions from registration afforded by Rule 144 (the provisions of which are known to it) promulgated under the Securities Act depend on the satisfaction of various conditions including, but not limited to, the time and manner of sale, the holding period and on requirements relating to the Company which are outside of the Investor’s control and which the Company may not be able to satisfy, and that, if applicable, Rule 144 may afford the basis for sales only in limited amounts. The Investor acknowledges and agrees that it has been advised to consult legal counsel prior to making any offer, resale, transfer, pledge or disposition of any of the Shares. The Investor acknowledges that no federal or state agency has passed upon or endorsed the merits of the offering of the Shares or made any findings or determination as to the fairness of this investment.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Investor understands that any certificates or book entry notations evidencing the Shares may bear one or more legends in substantially the following form and substance:</w:t>
      </w:r>
    </w:p>
    <w:p>
      <w:pPr>
        <w:pStyle w:val="TextBody"/>
        <w:bidi w:val="0"/>
        <w:spacing w:before="0" w:after="240"/>
        <w:jc w:val="both"/>
        <w:rPr/>
      </w:pPr>
      <w:r>
        <w:rPr>
          <w:color w:val="000000"/>
        </w:rPr>
        <w:t>“</w:t>
      </w:r>
      <w:r>
        <w:rPr>
          <w:rFonts w:ascii="Times New Roman" w:hAnsi="Times New Roman"/>
          <w:color w:val="000000"/>
          <w:sz w:val="24"/>
        </w:rPr>
        <w:t>THE SECURITIES REPRESENTED HEREBY HAVE NOT BEEN REGISTERED UNDER THE SECURITIES ACT OF 1933, AS AMENDED (THE “SECURITIES ACT”), OR THE SECURITIES LAWS OF ANY STATE OF THE UNITED STATES.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SECURITIES HAVE BEEN ACQUIRED FOR INVESTMENT AND MAY NOT BE SOLD, TRANSFERRED OR ASSIGNED UNLESS (I) SUCH SECURITIES HAVE BEEN REGISTERED FOR SALE PURSUANT TO THE SECURITIES ACT, (II) SUCH SECURITIES MAY BE SOLD PURSUANT TO RULE 144,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addition, the Shares may contain a legend regarding affiliate status of the Investor, if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4.11</w:t>
      </w:r>
    </w:p>
    <w:p>
      <w:pPr>
        <w:pStyle w:val="TextBody"/>
        <w:bidi w:val="0"/>
        <w:spacing w:before="0" w:after="240"/>
        <w:jc w:val="both"/>
        <w:rPr/>
      </w:pPr>
      <w:r>
        <w:rPr>
          <w:rFonts w:ascii="Times New Roman" w:hAnsi="Times New Roman"/>
          <w:color w:val="000000"/>
          <w:sz w:val="24"/>
          <w:u w:val="single"/>
        </w:rPr>
        <w:t>No General Solicitation</w:t>
      </w:r>
      <w:r>
        <w:rPr>
          <w:rFonts w:ascii="Times New Roman" w:hAnsi="Times New Roman"/>
          <w:color w:val="000000"/>
          <w:sz w:val="24"/>
        </w:rPr>
        <w:t>. The Investor acknowledges and agrees that the Investor is purchasing the Shares directly from the Company. Investor became aware of this offering of the Shares solely by means of direct contact from the Company as a result of a pre-existing, substantive relationship with the Company and/or its advisors (including, without limitation, attorneys, accountants, bankers, consultants and financial advisors), agents, control persons, representatives, Affiliates, directors, officers, managers, members, and/or employees, and/or the representatives of such persons. The Shares were offered to Investor solely by direct contact between Investor and the Company and/or its representatives. Investor did not become aware of this offering of the Shares, nor were the Shares offered to Investor, by any other means, and none of the Company and/or its representatives acted as investment advisor, broker or dealer to Investor. The Investor is not purchasing the Shares as a result of any general or public solicitation or general advertising, or publicly disseminated advertisement, article, notice or other communication regarding the Shares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4.12</w:t>
      </w:r>
    </w:p>
    <w:p>
      <w:pPr>
        <w:pStyle w:val="TextBody"/>
        <w:bidi w:val="0"/>
        <w:spacing w:before="0" w:after="240"/>
        <w:jc w:val="both"/>
        <w:rPr/>
      </w:pPr>
      <w:r>
        <w:rPr>
          <w:rFonts w:ascii="Times New Roman" w:hAnsi="Times New Roman"/>
          <w:color w:val="000000"/>
          <w:sz w:val="24"/>
          <w:u w:val="single"/>
        </w:rPr>
        <w:t>Access to Information</w:t>
      </w:r>
      <w:r>
        <w:rPr>
          <w:rFonts w:ascii="Times New Roman" w:hAnsi="Times New Roman"/>
          <w:color w:val="000000"/>
          <w:sz w:val="24"/>
        </w:rPr>
        <w:t>. The Investor acknowledges and agrees that the Investor and the Investor’s professional advisor(s), if any, have had the opportunity to ask such questions, receive such answers and obtain such information from the Company regarding the Company, its business and the terms and conditions of the offering of the Shares as the Investor and the Investor’s professional advisor(s), if any, have deemed necessary to make an investment decision with respect to the Shares and that the Investor has independently made its own analysis and decision to invest in the Company. Neither such inquiries nor any other due diligence investigation conducted by the Investor shall modify, limit or otherwise affect the Investor’s right to rely on the Company’s representations and warranties contained in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4.13</w:t>
      </w:r>
    </w:p>
    <w:p>
      <w:pPr>
        <w:pStyle w:val="TextBody"/>
        <w:bidi w:val="0"/>
        <w:spacing w:before="0" w:after="240"/>
        <w:jc w:val="both"/>
        <w:rPr/>
      </w:pPr>
      <w:r>
        <w:rPr>
          <w:rFonts w:ascii="Times New Roman" w:hAnsi="Times New Roman"/>
          <w:color w:val="000000"/>
          <w:sz w:val="24"/>
          <w:u w:val="single"/>
        </w:rPr>
        <w:t>Certain Trading Activities</w:t>
      </w:r>
      <w:r>
        <w:rPr>
          <w:rFonts w:ascii="Times New Roman" w:hAnsi="Times New Roman"/>
          <w:color w:val="000000"/>
          <w:sz w:val="24"/>
        </w:rPr>
        <w:t xml:space="preserve">. Other than consummating the transaction contemplated hereby, the Investor has not, nor has any Person acting on behalf of or pursuant to any understanding with the Investor, directly or indirectly executed any purchases or sales, including Short Sales, of the securities of the Company during the period commencing as of the time that the Investor was first contacted by the Company or any other Person regarding the transaction contemplated hereby and ending immediately prior to the date of this Agreement.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the assets managed by the portfolio manager that made the investment decision to purchase the Shares covered by this Agreement. Other than to other Persons party to this Agreement and to its advisors and agents who had a need to know such information, the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color w:val="000000"/>
          <w:sz w:val="24"/>
          <w:u w:val="single"/>
        </w:rPr>
        <w:t>Covenants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5.1</w:t>
      </w:r>
    </w:p>
    <w:p>
      <w:pPr>
        <w:pStyle w:val="TextBody"/>
        <w:bidi w:val="0"/>
        <w:spacing w:before="0" w:after="240"/>
        <w:jc w:val="both"/>
        <w:rPr/>
      </w:pPr>
      <w:r>
        <w:rPr>
          <w:rFonts w:ascii="Times New Roman" w:hAnsi="Times New Roman"/>
          <w:color w:val="000000"/>
          <w:sz w:val="24"/>
          <w:u w:val="single"/>
        </w:rPr>
        <w:t>Further Assurances</w:t>
      </w:r>
      <w:r>
        <w:rPr>
          <w:rFonts w:ascii="Times New Roman" w:hAnsi="Times New Roman"/>
          <w:color w:val="000000"/>
          <w:sz w:val="24"/>
        </w:rPr>
        <w:t xml:space="preserve">.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of this Agreement and compliance with applicable law, including taking reasonable action to facilitate the filing of any document or the taking of reasonable action to assist the other parties hereto in complying with the terms of this Agreement. The Investor acknowledges that the Company will rely on the acknowledgments, understandings, agreements, representations and warranties contained in this Agreement. Prior to the Closing, the Investor agrees to promptly notify the Company if any of the acknowledgments, understandings, agreements, representations and warranties set forth in </w:t>
      </w:r>
      <w:r>
        <w:rPr>
          <w:rFonts w:ascii="Times New Roman" w:hAnsi="Times New Roman"/>
          <w:color w:val="000000"/>
          <w:sz w:val="24"/>
          <w:u w:val="single"/>
        </w:rPr>
        <w:t>Section 4</w:t>
      </w:r>
      <w:r>
        <w:rPr>
          <w:color w:val="000000"/>
        </w:rPr>
        <w:t xml:space="preserve"> </w:t>
      </w:r>
      <w:r>
        <w:rPr>
          <w:rFonts w:ascii="Times New Roman" w:hAnsi="Times New Roman"/>
          <w:color w:val="000000"/>
          <w:sz w:val="24"/>
        </w:rPr>
        <w:t>of this Agreement are no longer accurate.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5.2</w:t>
      </w:r>
    </w:p>
    <w:p>
      <w:pPr>
        <w:pStyle w:val="TextBody"/>
        <w:bidi w:val="0"/>
        <w:spacing w:before="0" w:after="240"/>
        <w:jc w:val="both"/>
        <w:rPr/>
      </w:pPr>
      <w:r>
        <w:rPr>
          <w:rFonts w:ascii="Times New Roman" w:hAnsi="Times New Roman"/>
          <w:color w:val="000000"/>
          <w:sz w:val="24"/>
          <w:u w:val="single"/>
        </w:rPr>
        <w:t>Listing</w:t>
      </w:r>
      <w:r>
        <w:rPr>
          <w:rFonts w:ascii="Times New Roman" w:hAnsi="Times New Roman"/>
          <w:color w:val="000000"/>
          <w:sz w:val="24"/>
        </w:rPr>
        <w:t>. The Company shall use commercially reasonable efforts to maintain the listing and trading of its Common Stock on the Nasdaq Global Select Market and, in accordance therewith, will use reasonable best efforts to comply in all material respects with the Company’s reporting, filing and other obligations under the rules and regulations of Nasdaq.</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5.3</w:t>
      </w:r>
    </w:p>
    <w:p>
      <w:pPr>
        <w:pStyle w:val="TextBody"/>
        <w:bidi w:val="0"/>
        <w:spacing w:before="0" w:after="240"/>
        <w:jc w:val="both"/>
        <w:rPr/>
      </w:pPr>
      <w:r>
        <w:rPr>
          <w:rFonts w:ascii="Times New Roman" w:hAnsi="Times New Roman"/>
          <w:color w:val="000000"/>
          <w:sz w:val="24"/>
          <w:u w:val="single"/>
        </w:rPr>
        <w:t>Disclosure of Transactions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The Company shall, by 9:00 a.m., New York City time, on the first (1st) Business Day immediately following the date of this Agreement, file with the SEC a Current Report on Form 8-K (including all exhibits thereto, the “</w:t>
      </w:r>
      <w:r>
        <w:rPr>
          <w:rFonts w:ascii="Times New Roman" w:hAnsi="Times New Roman"/>
          <w:b/>
          <w:color w:val="000000"/>
          <w:sz w:val="24"/>
        </w:rPr>
        <w:t>Disclosure Document</w:t>
      </w:r>
      <w:r>
        <w:rPr>
          <w:color w:val="000000"/>
        </w:rPr>
        <w:t>”</w:t>
      </w:r>
      <w:r>
        <w:rPr>
          <w:rFonts w:ascii="Times New Roman" w:hAnsi="Times New Roman"/>
          <w:color w:val="000000"/>
          <w:sz w:val="24"/>
        </w:rPr>
        <w:t xml:space="preserve">) disclosing all material terms of the transactions contemplated hereby and by the other Transaction Agreements and attaching a copy of the form of this Agreement and the other Transaction Agreements as exhibits to such Disclosure Document. Following the filing of the Disclosure Document, no Investor shall be in possession of any material non-public information concerning the Company disclosed to the Investors by the Company or its representatives. The Company understands and confirms that the Investors will rely on the foregoing representation in effecting securities transactions. Notwithstanding anything in this Agreement to the contrary, the Company shall not publicly disclose the name of any Investor or any of its Affiliates or advisers, or include the name of any Investor or any of its Affiliates or advisers in any press release or filing with the SEC (other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than any registration statement contemplated by the Registration Rights Agreement) or any regulatory agency, without the prior written consent of the Investor, except (i) as required by the federal securities laws in connection with (A) any registration statement contemplated by the Registration Rights Agreement and (B) the filing of final Transaction Agreements with the SEC or pursuant to other routine proceedings of regulatory authorities, or (ii) to the extent such disclosure is required by law, at the request of the staff of the SEC or regulatory agency or under the regulations of the Nasdaq Global Select Market.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5.4</w:t>
      </w:r>
    </w:p>
    <w:p>
      <w:pPr>
        <w:pStyle w:val="TextBody"/>
        <w:bidi w:val="0"/>
        <w:spacing w:before="0" w:after="240"/>
        <w:jc w:val="both"/>
        <w:rPr/>
      </w:pPr>
      <w:r>
        <w:rPr>
          <w:rFonts w:ascii="Times New Roman" w:hAnsi="Times New Roman"/>
          <w:color w:val="000000"/>
          <w:sz w:val="24"/>
          <w:u w:val="single"/>
        </w:rPr>
        <w:t>Integration</w:t>
      </w:r>
      <w:r>
        <w:rPr>
          <w:rFonts w:ascii="Times New Roman" w:hAnsi="Times New Roman"/>
          <w:color w:val="000000"/>
          <w:sz w:val="24"/>
        </w:rPr>
        <w:t>.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Shares in a manner that would require the registration under the Securities Act of the sale of the Shares to the Investors, or that will be integrated with the offer or sale of the Shares for purposes of the rules and regulations of any National Exchange such that it would require stockholder approval prior to the closing of such other transaction unless stockholder approval is obtained before the closing of such subsequent transaction.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5.5</w:t>
      </w:r>
    </w:p>
    <w:p>
      <w:pPr>
        <w:pStyle w:val="TextBody"/>
        <w:bidi w:val="0"/>
        <w:spacing w:before="0" w:after="240"/>
        <w:jc w:val="both"/>
        <w:rPr/>
      </w:pPr>
      <w:r>
        <w:rPr>
          <w:rFonts w:ascii="Times New Roman" w:hAnsi="Times New Roman"/>
          <w:color w:val="000000"/>
          <w:sz w:val="24"/>
          <w:u w:val="single"/>
        </w:rPr>
        <w:t>Removal of Legends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connection with any sale, assignment, transfer or other disposition of the Shares by an Investor pursuant to Rule 144 or pursuant to any other exemption under the Securities Act such that the purchaser acquires freely tradable shares and upon compliance by the Investor with the requirements of this Agreement, if requested by the Investor by notice to the Company, the Company shall request the Transfer Agent to remove any restrictive legends related to the book entry account holding such shares and make a new, unlegended entry for such book entry shares sold or disposed of without restrictive legends as soon as reasonably practicable following any such request therefor from the Investor, provided that the Company has timely received from the Investor customary representations and other documentation reasonably acceptable to the Company in connection therewith. The Company shall be responsible for the fees of its Transfer Agent and its legal counsel associated with such legend removal.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4"/>
        </w:rPr>
        <w:t xml:space="preserve">Subject to receipt from the Investor by the Company and the Transfer Agent of customary representations and other documentation reasonably acceptable to the Company and the Transfer Agent in connection therewith, upon the earliest of such time as the Shares (i) have been registered under the Securities Act pursuant to an effective registration statement; (ii) have been sold pursuant to Rule 144; or (iii) are eligible for resale under Rule 144(b)(1) without the requirement for the Company to be in compliance with the current public information requirements under Rule 144(c)(1) (or any successor provision), the Company shall, in accordance with the provisions of this </w:t>
      </w:r>
      <w:r>
        <w:rPr>
          <w:rFonts w:ascii="Times New Roman" w:hAnsi="Times New Roman"/>
          <w:color w:val="000000"/>
          <w:sz w:val="24"/>
          <w:u w:val="single"/>
        </w:rPr>
        <w:t>Section 5.5(b)</w:t>
      </w:r>
      <w:r>
        <w:rPr>
          <w:color w:val="000000"/>
        </w:rPr>
        <w:t xml:space="preserve"> </w:t>
      </w:r>
      <w:r>
        <w:rPr>
          <w:rFonts w:ascii="Times New Roman" w:hAnsi="Times New Roman"/>
          <w:color w:val="000000"/>
          <w:sz w:val="24"/>
        </w:rPr>
        <w:t>and as soon as reasonably practicable following any request therefor from an Investor accompanied by such customary and reasonably acceptable documentation referred to above, (A) deliver to the Transfer Agent irrevocable instructions that the Transfer Agent shall make a new, unlegended entry for such book entry shares, and (B) cause its counsel to deliver to the Transfer Agent one or more opinions to the effect that the removal of such legends in such circumstances may be effected under the Securities Act if required by the Transfer Agent to effect the removal of the legend in accordance with the provisions of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5.6</w:t>
      </w:r>
    </w:p>
    <w:p>
      <w:pPr>
        <w:pStyle w:val="TextBody"/>
        <w:bidi w:val="0"/>
        <w:spacing w:before="0" w:after="240"/>
        <w:jc w:val="both"/>
        <w:rPr/>
      </w:pPr>
      <w:r>
        <w:rPr>
          <w:rFonts w:ascii="Times New Roman" w:hAnsi="Times New Roman"/>
          <w:color w:val="000000"/>
          <w:sz w:val="24"/>
          <w:u w:val="single"/>
        </w:rPr>
        <w:t>Withholding Taxes</w:t>
      </w:r>
      <w:r>
        <w:rPr>
          <w:rFonts w:ascii="Times New Roman" w:hAnsi="Times New Roman"/>
          <w:color w:val="000000"/>
          <w:sz w:val="24"/>
        </w:rPr>
        <w:t>. Each Investor agrees to furnish the Company with any information, representations and forms as shall reasonably be requested by the Company from time to time to assist the Company in complying with any applicable tax law (including any withholding obligations).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5.7</w:t>
      </w:r>
    </w:p>
    <w:p>
      <w:pPr>
        <w:pStyle w:val="TextBody"/>
        <w:bidi w:val="0"/>
        <w:spacing w:before="0" w:after="240"/>
        <w:jc w:val="both"/>
        <w:rPr/>
      </w:pPr>
      <w:r>
        <w:rPr>
          <w:rFonts w:ascii="Times New Roman" w:hAnsi="Times New Roman"/>
          <w:color w:val="000000"/>
          <w:sz w:val="24"/>
          <w:u w:val="single"/>
        </w:rPr>
        <w:t>Fees and Commissions</w:t>
      </w:r>
      <w:r>
        <w:rPr>
          <w:rFonts w:ascii="Times New Roman" w:hAnsi="Times New Roman"/>
          <w:color w:val="000000"/>
          <w:sz w:val="24"/>
        </w:rPr>
        <w:t xml:space="preserve">. The Company shall be solely responsible for the payment of any placement agent’s fees, financial advisory fees, or broker’s commissions (other than for Persons engaged by an Investor) relating to or arising out of the transactions contemplated hereby.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5.8</w:t>
      </w:r>
    </w:p>
    <w:p>
      <w:pPr>
        <w:pStyle w:val="TextBody"/>
        <w:bidi w:val="0"/>
        <w:spacing w:before="0" w:after="240"/>
        <w:jc w:val="both"/>
        <w:rPr/>
      </w:pPr>
      <w:r>
        <w:rPr>
          <w:rFonts w:ascii="Times New Roman" w:hAnsi="Times New Roman"/>
          <w:color w:val="000000"/>
          <w:sz w:val="24"/>
          <w:u w:val="single"/>
        </w:rPr>
        <w:t>No Conflicting Agreements</w:t>
      </w:r>
      <w:r>
        <w:rPr>
          <w:rFonts w:ascii="Times New Roman" w:hAnsi="Times New Roman"/>
          <w:color w:val="000000"/>
          <w:sz w:val="24"/>
        </w:rPr>
        <w:t xml:space="preserve">. The Company will not take any action, enter into any agreement or make any commitment that would conflict or interfere in any material respect with the Company’s obligations to the Investors under the Transaction Agreements.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5.9</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 xml:space="preserve">Indemnification.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The Company agrees to indemnify and hold harmless each Investor and its Affiliates, and their respective directors, officers, trustees, members, managers, employees, investment advisers and agents (collectively, the “</w:t>
      </w:r>
      <w:r>
        <w:rPr>
          <w:rFonts w:ascii="Times New Roman" w:hAnsi="Times New Roman"/>
          <w:b/>
          <w:color w:val="000000"/>
          <w:sz w:val="24"/>
        </w:rPr>
        <w:t>Indemnified Persons</w:t>
      </w:r>
      <w:r>
        <w:rPr>
          <w:color w:val="000000"/>
        </w:rPr>
        <w:t>”</w:t>
      </w:r>
      <w:r>
        <w:rPr>
          <w:rFonts w:ascii="Times New Roman" w:hAnsi="Times New Roman"/>
          <w:color w:val="000000"/>
          <w:sz w:val="24"/>
        </w:rPr>
        <w:t xml:space="preserve">),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Person may become subject as a result of any breach of representation, warranty, covenant or agreement made by or to be performed on the part of the Company under the Transaction Agreements, and will reimburse any such Person for all such amounts as they are incurred by such Person solely to the extent such amounts have been finally judicially determined not to have resulted from such Person’s fraud or willful misconduct.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(i) imposes no liability or obligation on, (ii) includes as an unconditional term thereof the giving of a complete, explicit and unconditional release from the party bringing such indemnified claims of all liability of the indemnified party in respect of such claim or litigation in favor of, and (iii) does not include any admission of fault, culpability, wrongdoing, or malfeasance by or on behalf of, the indemnified party. No indemnified party will, except with the consent of the indemnifying party, which consent shall not be unreasonably withheld, conditioned or delayed, consent to entry of any judgment or enter into any settlement.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5.10</w:t>
      </w:r>
    </w:p>
    <w:p>
      <w:pPr>
        <w:pStyle w:val="TextBody"/>
        <w:bidi w:val="0"/>
        <w:spacing w:before="0" w:after="240"/>
        <w:jc w:val="both"/>
        <w:rPr/>
      </w:pPr>
      <w:r>
        <w:rPr>
          <w:rFonts w:ascii="Times New Roman" w:hAnsi="Times New Roman"/>
          <w:color w:val="000000"/>
          <w:sz w:val="24"/>
          <w:u w:val="single"/>
        </w:rPr>
        <w:t>Subsequent Equity Sales</w:t>
      </w:r>
      <w:r>
        <w:rPr>
          <w:rFonts w:ascii="Times New Roman" w:hAnsi="Times New Roman"/>
          <w:color w:val="000000"/>
          <w:sz w:val="24"/>
        </w:rPr>
        <w:t>. From the date of this Agreement until the earlier of (a) thirty (30) days after the Closing Date and (b) the Business Day immediately following the effective date of the registration statement filed pursuant to the Registration Rights Agreement (the “</w:t>
      </w:r>
      <w:r>
        <w:rPr>
          <w:rFonts w:ascii="Times New Roman" w:hAnsi="Times New Roman"/>
          <w:b/>
          <w:color w:val="000000"/>
          <w:sz w:val="24"/>
        </w:rPr>
        <w:t>Lock-up Period</w:t>
      </w:r>
      <w:r>
        <w:rPr>
          <w:color w:val="000000"/>
        </w:rPr>
        <w:t>”</w:t>
      </w:r>
      <w:r>
        <w:rPr>
          <w:rFonts w:ascii="Times New Roman" w:hAnsi="Times New Roman"/>
          <w:color w:val="000000"/>
          <w:sz w:val="24"/>
        </w:rPr>
        <w:t xml:space="preserve">), the Company shall not (A) issue shares of Common Stock or Common Stock Equivalents, (B) effect a reverse stock split, recapitalization, share consolidation, reclassification or similar transaction affecting the outstanding Common Stock or (C) file with the SEC a registration statement under the Securities Act relating to any shares of Common Stock or Common Stock Equivalents, except pursuant to the terms of the Registration Rights Agreement. Notwithstanding the foregoing, the provisions of this </w:t>
      </w:r>
      <w:r>
        <w:rPr>
          <w:rFonts w:ascii="Times New Roman" w:hAnsi="Times New Roman"/>
          <w:color w:val="000000"/>
          <w:sz w:val="24"/>
          <w:u w:val="single"/>
        </w:rPr>
        <w:t>Section 5.10</w:t>
      </w:r>
      <w:r>
        <w:rPr>
          <w:color w:val="000000"/>
        </w:rPr>
        <w:t xml:space="preserve"> </w:t>
      </w:r>
      <w:r>
        <w:rPr>
          <w:rFonts w:ascii="Times New Roman" w:hAnsi="Times New Roman"/>
          <w:color w:val="000000"/>
          <w:sz w:val="24"/>
        </w:rPr>
        <w:t>shall not apply to (i) the issuance of the Shares hereunder, (ii) the issuance of Common Stock or Common Stock Equivalents upon the conversion, exercise or vesting of any securities of the Company outstanding on the date of this Agreement or outstanding pursuant to clause (iii) of this sentence, (iii) the issuance of any Common Stock or Common Stock Equivalents pursuant to any Company stock-based compensation plans or in accordance with Nasdaq Stock Market Rule 5635(c)(4), (iv) the filing of a registration statement on Form S-8 under the Securities Act to register the offer and sale of securities pursuant to an inducement plan, equity incentive plan or employee stock purchase plan, or (v) the issuance of shares of Common Stock sold pursuant to the Sales Agreement entered into on December 23, 2022, by and between the Company and Stifel, Nicolas &amp; Company, Incorporated.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color w:val="000000"/>
          <w:sz w:val="24"/>
          <w:u w:val="single"/>
        </w:rPr>
        <w:t>Conditions of Closing</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6.1</w:t>
      </w:r>
    </w:p>
    <w:p>
      <w:pPr>
        <w:pStyle w:val="TextBody"/>
        <w:bidi w:val="0"/>
        <w:spacing w:before="0" w:after="240"/>
        <w:jc w:val="both"/>
        <w:rPr/>
      </w:pPr>
      <w:r>
        <w:rPr>
          <w:rFonts w:ascii="Times New Roman" w:hAnsi="Times New Roman"/>
          <w:color w:val="000000"/>
          <w:sz w:val="24"/>
          <w:u w:val="single"/>
        </w:rPr>
        <w:t>Conditions to the Obligation of the Investors</w:t>
      </w:r>
      <w:r>
        <w:rPr>
          <w:rFonts w:ascii="Times New Roman" w:hAnsi="Times New Roman"/>
          <w:color w:val="000000"/>
          <w:sz w:val="24"/>
        </w:rPr>
        <w:t>. The several obligations of each Investor to consummate the transactions to be consummated at the Closing, and to purchase and pay for the Shares being purchased by it at the Closing pursuant to this Agreement, are subject to the satisfaction or waiver in writing of the following conditions precedent: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Representations and Warranties</w:t>
      </w:r>
      <w:r>
        <w:rPr>
          <w:rFonts w:ascii="Times New Roman" w:hAnsi="Times New Roman"/>
          <w:color w:val="000000"/>
          <w:sz w:val="24"/>
        </w:rPr>
        <w:t xml:space="preserve">. The representations and warranties of the Company contained herein shall be true and correct in all material respects, except for those representation and warranties qualified by materiality or Material Adverse Effect, which shall be true and correct in all respects, as of the date of this Agreement and as of the Closing Date, as though made on and as of such date, except to the extent any such representation or warranty expressly speaks as of an earlier date, in which case such representation or warranty shall be true and correct in all material respects as of such earlier date, except for those representations and </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warranties qualified by materiality or Material Adverse Effect, which shall be true and correct in all respects as of such earlier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Performance</w:t>
      </w:r>
      <w:r>
        <w:rPr>
          <w:rFonts w:ascii="Times New Roman" w:hAnsi="Times New Roman"/>
          <w:color w:val="000000"/>
          <w:sz w:val="24"/>
        </w:rPr>
        <w:t>. The Company shall have performed in all material respects the obligations and conditions herein required to be performed or observed by the Company on or prior to the Closing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No Injunction</w:t>
      </w:r>
      <w:r>
        <w:rPr>
          <w:rFonts w:ascii="Times New Roman" w:hAnsi="Times New Roman"/>
          <w:color w:val="000000"/>
          <w:sz w:val="24"/>
        </w:rPr>
        <w:t>. The purchase of and payment for the Shares by each Investor shall not be prohibited or enjoined by any law or governmental or court order or regulation and no such prohibition shall have been threatened in writing.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Consents</w:t>
      </w:r>
      <w:r>
        <w:rPr>
          <w:rFonts w:ascii="Times New Roman" w:hAnsi="Times New Roman"/>
          <w:color w:val="000000"/>
          <w:sz w:val="24"/>
        </w:rPr>
        <w:t>. The Company shall have obtained any and all consents, permits, approvals, registrations and waivers necessary for the consummation of the purchase and sale of the Shares, all of which shall be in full force and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Adverse Changes</w:t>
      </w:r>
      <w:r>
        <w:rPr>
          <w:rFonts w:ascii="Times New Roman" w:hAnsi="Times New Roman"/>
          <w:color w:val="000000"/>
          <w:sz w:val="24"/>
        </w:rPr>
        <w:t>. Since the date of this Agreement, no event or series of events shall have occurred that has had or would reasonably be expected to have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Opinion of Company Counsel</w:t>
      </w:r>
      <w:r>
        <w:rPr>
          <w:rFonts w:ascii="Times New Roman" w:hAnsi="Times New Roman"/>
          <w:color w:val="000000"/>
          <w:sz w:val="24"/>
        </w:rPr>
        <w:t>. The Company shall have delivered to the Investors the opinion of Cooley LLP (“</w:t>
      </w:r>
      <w:r>
        <w:rPr>
          <w:rFonts w:ascii="Times New Roman" w:hAnsi="Times New Roman"/>
          <w:b/>
          <w:color w:val="000000"/>
          <w:sz w:val="24"/>
        </w:rPr>
        <w:t>Cooley</w:t>
      </w:r>
      <w:r>
        <w:rPr>
          <w:color w:val="000000"/>
        </w:rPr>
        <w:t>”</w:t>
      </w:r>
      <w:r>
        <w:rPr>
          <w:rFonts w:ascii="Times New Roman" w:hAnsi="Times New Roman"/>
          <w:color w:val="000000"/>
          <w:sz w:val="24"/>
        </w:rPr>
        <w:t>), dated as of the Closing Date, in customary form and substance to be reasonably agreed upon with the Investors and addressing such legal matters as the Investors and the Company reasonably agree.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Compliance Certificate</w:t>
      </w:r>
      <w:r>
        <w:rPr>
          <w:rFonts w:ascii="Times New Roman" w:hAnsi="Times New Roman"/>
          <w:color w:val="000000"/>
          <w:sz w:val="24"/>
        </w:rPr>
        <w:t xml:space="preserve">. An authorized officer of the Company shall have delivered to the Investors at the Closing Date a certificate certifying that the conditions specified in </w:t>
      </w:r>
      <w:r>
        <w:rPr>
          <w:rFonts w:ascii="Times New Roman" w:hAnsi="Times New Roman"/>
          <w:color w:val="000000"/>
          <w:sz w:val="24"/>
          <w:u w:val="single"/>
        </w:rPr>
        <w:t>Sections 6.1(a) (Representations and Warranties)</w:t>
      </w:r>
      <w:r>
        <w:rPr>
          <w:rFonts w:ascii="Times New Roman" w:hAnsi="Times New Roman"/>
          <w:color w:val="000000"/>
          <w:sz w:val="24"/>
        </w:rPr>
        <w:t xml:space="preserve">, </w:t>
      </w:r>
      <w:r>
        <w:rPr>
          <w:rFonts w:ascii="Times New Roman" w:hAnsi="Times New Roman"/>
          <w:color w:val="000000"/>
          <w:sz w:val="24"/>
          <w:u w:val="single"/>
        </w:rPr>
        <w:t>6.1(b) (Performance)</w:t>
      </w:r>
      <w:r>
        <w:rPr>
          <w:rFonts w:ascii="Times New Roman" w:hAnsi="Times New Roman"/>
          <w:color w:val="000000"/>
          <w:sz w:val="24"/>
        </w:rPr>
        <w:t xml:space="preserve">, </w:t>
      </w:r>
      <w:r>
        <w:rPr>
          <w:rFonts w:ascii="Times New Roman" w:hAnsi="Times New Roman"/>
          <w:color w:val="000000"/>
          <w:sz w:val="24"/>
          <w:u w:val="single"/>
        </w:rPr>
        <w:t>6.1(c) (No Injunction)</w:t>
      </w:r>
      <w:r>
        <w:rPr>
          <w:rFonts w:ascii="Times New Roman" w:hAnsi="Times New Roman"/>
          <w:color w:val="000000"/>
          <w:sz w:val="24"/>
        </w:rPr>
        <w:t xml:space="preserve">, </w:t>
      </w:r>
      <w:r>
        <w:rPr>
          <w:rFonts w:ascii="Times New Roman" w:hAnsi="Times New Roman"/>
          <w:color w:val="000000"/>
          <w:sz w:val="24"/>
          <w:u w:val="single"/>
        </w:rPr>
        <w:t>6.1(d) (Consents)</w:t>
      </w:r>
      <w:r>
        <w:rPr>
          <w:rFonts w:ascii="Times New Roman" w:hAnsi="Times New Roman"/>
          <w:color w:val="000000"/>
          <w:sz w:val="24"/>
        </w:rPr>
        <w:t xml:space="preserve">, </w:t>
      </w:r>
      <w:r>
        <w:rPr>
          <w:rFonts w:ascii="Times New Roman" w:hAnsi="Times New Roman"/>
          <w:color w:val="000000"/>
          <w:sz w:val="24"/>
          <w:u w:val="single"/>
        </w:rPr>
        <w:t>6.1(f) (Adverse Changes)</w:t>
      </w:r>
      <w:r>
        <w:rPr>
          <w:rFonts w:ascii="Times New Roman" w:hAnsi="Times New Roman"/>
          <w:color w:val="000000"/>
          <w:sz w:val="24"/>
        </w:rPr>
        <w:t xml:space="preserve">, </w:t>
      </w:r>
      <w:r>
        <w:rPr>
          <w:rFonts w:ascii="Times New Roman" w:hAnsi="Times New Roman"/>
          <w:color w:val="000000"/>
          <w:sz w:val="24"/>
          <w:u w:val="single"/>
        </w:rPr>
        <w:t>6.1(k) (Listing Requirements)</w:t>
      </w:r>
      <w:r>
        <w:rPr>
          <w:rFonts w:ascii="Times New Roman" w:hAnsi="Times New Roman"/>
          <w:color w:val="000000"/>
          <w:sz w:val="24"/>
        </w:rPr>
        <w:t xml:space="preserve">, and </w:t>
      </w:r>
      <w:r>
        <w:rPr>
          <w:rFonts w:ascii="Times New Roman" w:hAnsi="Times New Roman"/>
          <w:color w:val="000000"/>
          <w:sz w:val="24"/>
          <w:u w:val="single"/>
        </w:rPr>
        <w:t>6.1(l) (No Injunction)</w:t>
      </w:r>
      <w:r>
        <w:rPr>
          <w:color w:val="000000"/>
        </w:rPr>
        <w:t xml:space="preserve"> </w:t>
      </w:r>
      <w:r>
        <w:rPr>
          <w:rFonts w:ascii="Times New Roman" w:hAnsi="Times New Roman"/>
          <w:color w:val="000000"/>
          <w:sz w:val="24"/>
        </w:rPr>
        <w:t>of this Agreement have been fulfilled.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Secretary’s Certificate</w:t>
      </w:r>
      <w:r>
        <w:rPr>
          <w:rFonts w:ascii="Times New Roman" w:hAnsi="Times New Roman"/>
          <w:color w:val="000000"/>
          <w:sz w:val="24"/>
        </w:rPr>
        <w:t>. The Secretary of the Company shall have delivered to the Investors at the Closing Date a certificate certifying (i) the Amended and Restated Certificate of Incorporation; (ii) the Amended and Restated Bylaws; and (iii) resolutions of the Company’s Board of Directors (or an authorized committee thereof) approving this Agreement, the other Transaction Agreements, the transactions contemplated by this Agreement and the issuance of the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rFonts w:ascii="Times New Roman" w:hAnsi="Times New Roman"/>
          <w:color w:val="000000"/>
          <w:sz w:val="24"/>
          <w:u w:val="single"/>
        </w:rPr>
        <w:t>Registration Rights Agreement</w:t>
      </w:r>
      <w:r>
        <w:rPr>
          <w:rFonts w:ascii="Times New Roman" w:hAnsi="Times New Roman"/>
          <w:color w:val="000000"/>
          <w:sz w:val="24"/>
        </w:rPr>
        <w:t xml:space="preserve">. The Company shall have executed and delivered the Registration Rights Agreement in the form attached hereto as </w:t>
      </w:r>
      <w:r>
        <w:rPr>
          <w:rFonts w:ascii="Times New Roman" w:hAnsi="Times New Roman"/>
          <w:color w:val="000000"/>
          <w:sz w:val="24"/>
          <w:u w:val="single"/>
        </w:rPr>
        <w:t>Exhibit B</w:t>
      </w:r>
      <w:r>
        <w:rPr>
          <w:color w:val="000000"/>
        </w:rPr>
        <w:t xml:space="preserve"> </w:t>
      </w:r>
      <w:r>
        <w:rPr>
          <w:rFonts w:ascii="Times New Roman" w:hAnsi="Times New Roman"/>
          <w:color w:val="000000"/>
          <w:sz w:val="24"/>
        </w:rPr>
        <w:t>(the “</w:t>
      </w:r>
      <w:r>
        <w:rPr>
          <w:rFonts w:ascii="Times New Roman" w:hAnsi="Times New Roman"/>
          <w:b/>
          <w:color w:val="000000"/>
          <w:sz w:val="24"/>
        </w:rPr>
        <w:t>Registration Rights Agreement</w:t>
      </w:r>
      <w:r>
        <w:rPr>
          <w:color w:val="000000"/>
        </w:rPr>
        <w:t>”</w:t>
      </w:r>
      <w:r>
        <w:rPr>
          <w:rFonts w:ascii="Times New Roman" w:hAnsi="Times New Roman"/>
          <w:color w:val="000000"/>
          <w:sz w:val="24"/>
        </w:rPr>
        <w:t>) to the Investors.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rFonts w:ascii="Times New Roman" w:hAnsi="Times New Roman"/>
          <w:color w:val="000000"/>
          <w:sz w:val="24"/>
          <w:u w:val="single"/>
        </w:rPr>
        <w:t>Listing Requirements</w:t>
      </w:r>
      <w:r>
        <w:rPr>
          <w:rFonts w:ascii="Times New Roman" w:hAnsi="Times New Roman"/>
          <w:color w:val="000000"/>
          <w:sz w:val="24"/>
        </w:rPr>
        <w:t xml:space="preserve">. No stop order or suspension of trading shall have been imposed by Nasdaq, the SEC or any other governmental or regulatory body with respect to public trading in the Common Stock. The Common Stock shall be listed on a National Exchange and shall not have been suspended, as of the Closing Date, by the SEC or the National Exchange from trading thereon nor shall suspension by the SEC or the National Exchange have been </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threatened, as of the Closing Date, in writing by the SEC or the National Exchange; and the Company shall have filed with Nasdaq a Notification Form: Listing of Additional Shares for the listing of the Shares and Nasdaq shall have raised no objection to such notice and the transactions contemplated hereby.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pPr>
      <w:r>
        <w:rPr>
          <w:rFonts w:ascii="Times New Roman" w:hAnsi="Times New Roman"/>
          <w:color w:val="000000"/>
          <w:sz w:val="24"/>
          <w:u w:val="single"/>
        </w:rPr>
        <w:t>No Injunction</w:t>
      </w:r>
      <w:r>
        <w:rPr>
          <w:rFonts w:ascii="Times New Roman" w:hAnsi="Times New Roman"/>
          <w:color w:val="000000"/>
          <w:sz w:val="24"/>
        </w:rPr>
        <w:t>. No judgment, writ, order, injunction, award or decree of or by any court, or judge, justice or magistrate, including any bankruptcy court or judge, or any order of or by any governmental entity, shall have been issued, and no action or proceeding shall have been instituted by any governmental entity, enjoining or preventing the consummation of the transactions contemplated hereby or in the other Transaction Agreements.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rFonts w:ascii="Times New Roman" w:hAnsi="Times New Roman"/>
          <w:color w:val="000000"/>
          <w:sz w:val="24"/>
          <w:u w:val="single"/>
        </w:rPr>
        <w:t>Payment</w:t>
      </w:r>
      <w:r>
        <w:rPr>
          <w:rFonts w:ascii="Times New Roman" w:hAnsi="Times New Roman"/>
          <w:color w:val="000000"/>
          <w:sz w:val="24"/>
        </w:rPr>
        <w:t xml:space="preserve">. Except as may be agreed to among the Company and one or more Investors in accordance with </w:t>
      </w:r>
      <w:r>
        <w:rPr>
          <w:rFonts w:ascii="Times New Roman" w:hAnsi="Times New Roman"/>
          <w:color w:val="000000"/>
          <w:sz w:val="24"/>
          <w:u w:val="single"/>
        </w:rPr>
        <w:t>Section 2.2</w:t>
      </w:r>
      <w:r>
        <w:rPr>
          <w:rFonts w:ascii="Times New Roman" w:hAnsi="Times New Roman"/>
          <w:color w:val="000000"/>
          <w:sz w:val="24"/>
        </w:rPr>
        <w:t xml:space="preserve">, the Company shall have received payment, by wire transfer of immediately available funds, in the full amount of the purchase price for the number of Shares being purchased by each Investor at the Closing as set forth in </w:t>
      </w:r>
      <w:r>
        <w:rPr>
          <w:rFonts w:ascii="Times New Roman" w:hAnsi="Times New Roman"/>
          <w:color w:val="000000"/>
          <w:sz w:val="24"/>
          <w:u w:val="single"/>
        </w:rPr>
        <w:t>Exhibit A</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6.2</w:t>
      </w:r>
    </w:p>
    <w:p>
      <w:pPr>
        <w:pStyle w:val="TextBody"/>
        <w:bidi w:val="0"/>
        <w:spacing w:before="0" w:after="240"/>
        <w:jc w:val="both"/>
        <w:rPr/>
      </w:pPr>
      <w:r>
        <w:rPr>
          <w:rFonts w:ascii="Times New Roman" w:hAnsi="Times New Roman"/>
          <w:color w:val="000000"/>
          <w:sz w:val="24"/>
          <w:u w:val="single"/>
        </w:rPr>
        <w:t>Conditions to the Obligation of the Company</w:t>
      </w:r>
      <w:r>
        <w:rPr>
          <w:rFonts w:ascii="Times New Roman" w:hAnsi="Times New Roman"/>
          <w:color w:val="000000"/>
          <w:sz w:val="24"/>
        </w:rPr>
        <w:t>. The obligation of the Company to consummate the transactions to be consummated at the Closing, and to issue and sell to each Investor the Shares to be purchased by it at the Closing pursuant to this Agreement, is subject to the satisfaction or waiver in writing of the following conditions precedent: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Representations and Warranties</w:t>
      </w:r>
      <w:r>
        <w:rPr>
          <w:rFonts w:ascii="Times New Roman" w:hAnsi="Times New Roman"/>
          <w:color w:val="000000"/>
          <w:sz w:val="24"/>
        </w:rPr>
        <w:t xml:space="preserve">. The representations and warranties of each Investor in </w:t>
      </w:r>
      <w:r>
        <w:rPr>
          <w:rFonts w:ascii="Times New Roman" w:hAnsi="Times New Roman"/>
          <w:color w:val="000000"/>
          <w:sz w:val="24"/>
          <w:u w:val="single"/>
        </w:rPr>
        <w:t>Section 4</w:t>
      </w:r>
      <w:r>
        <w:rPr>
          <w:color w:val="000000"/>
        </w:rPr>
        <w:t xml:space="preserve"> </w:t>
      </w:r>
      <w:r>
        <w:rPr>
          <w:rFonts w:ascii="Times New Roman" w:hAnsi="Times New Roman"/>
          <w:color w:val="000000"/>
          <w:sz w:val="24"/>
        </w:rPr>
        <w:t>hereto shall be true and correct on and as of the Closing Date, with the same force and effect as though made on and as of the Closing Date and consummation of the Closing shall constitute a reaffirmation by the Investor of each of the representations, warranties, covenants and agreements of the Investor contained in this Agreement as of the Closing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Performance</w:t>
      </w:r>
      <w:r>
        <w:rPr>
          <w:rFonts w:ascii="Times New Roman" w:hAnsi="Times New Roman"/>
          <w:color w:val="000000"/>
          <w:sz w:val="24"/>
        </w:rPr>
        <w:t>. Each Investor shall have performed or complied with in all material respects all obligations and conditions herein required to be performed or observed by such Investor on or prior to the Closing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Injunction</w:t>
      </w:r>
      <w:r>
        <w:rPr>
          <w:rFonts w:ascii="Times New Roman" w:hAnsi="Times New Roman"/>
          <w:color w:val="000000"/>
          <w:sz w:val="24"/>
        </w:rPr>
        <w:t>. The purchase of and payment for the Shares by each Investor shall not be prohibited or enjoined by any law or governmental or court order or regulation.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Registration Rights Agreement</w:t>
      </w:r>
      <w:r>
        <w:rPr>
          <w:rFonts w:ascii="Times New Roman" w:hAnsi="Times New Roman"/>
          <w:color w:val="000000"/>
          <w:sz w:val="24"/>
        </w:rPr>
        <w:t xml:space="preserve">. Each Investor shall have executed and delivered the Registration Rights Agreement to the Company in the form attached as </w:t>
      </w:r>
      <w:r>
        <w:rPr>
          <w:rFonts w:ascii="Times New Roman" w:hAnsi="Times New Roman"/>
          <w:color w:val="000000"/>
          <w:sz w:val="24"/>
          <w:u w:val="single"/>
        </w:rPr>
        <w:t>Exhibit B</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Payment</w:t>
      </w:r>
      <w:r>
        <w:rPr>
          <w:rFonts w:ascii="Times New Roman" w:hAnsi="Times New Roman"/>
          <w:color w:val="000000"/>
          <w:sz w:val="24"/>
        </w:rPr>
        <w:t xml:space="preserve">. Except as may be agreed to among the Company and one or more Investors in accordance with </w:t>
      </w:r>
      <w:r>
        <w:rPr>
          <w:rFonts w:ascii="Times New Roman" w:hAnsi="Times New Roman"/>
          <w:color w:val="000000"/>
          <w:sz w:val="24"/>
          <w:u w:val="single"/>
        </w:rPr>
        <w:t>Section 2.2</w:t>
      </w:r>
      <w:r>
        <w:rPr>
          <w:rFonts w:ascii="Times New Roman" w:hAnsi="Times New Roman"/>
          <w:color w:val="000000"/>
          <w:sz w:val="24"/>
        </w:rPr>
        <w:t xml:space="preserve">, the Company shall have received payment, by wire transfer of immediately available funds, in the full amount of the purchase price for the number of Shares being purchased by each Investor at the Closing as set forth in </w:t>
      </w:r>
      <w:r>
        <w:rPr>
          <w:rFonts w:ascii="Times New Roman" w:hAnsi="Times New Roman"/>
          <w:color w:val="000000"/>
          <w:sz w:val="24"/>
          <w:u w:val="single"/>
        </w:rPr>
        <w:t>Exhibit A</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color w:val="000000"/>
          <w:sz w:val="24"/>
          <w:u w:val="single"/>
        </w:rPr>
        <w:t>Termination</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7.1</w:t>
      </w:r>
    </w:p>
    <w:p>
      <w:pPr>
        <w:pStyle w:val="TextBody"/>
        <w:bidi w:val="0"/>
        <w:spacing w:before="0" w:after="240"/>
        <w:jc w:val="both"/>
        <w:rPr/>
      </w:pPr>
      <w:r>
        <w:rPr>
          <w:rFonts w:ascii="Times New Roman" w:hAnsi="Times New Roman"/>
          <w:color w:val="000000"/>
          <w:sz w:val="24"/>
          <w:u w:val="single"/>
        </w:rPr>
        <w:t>Termination</w:t>
      </w:r>
      <w:r>
        <w:rPr>
          <w:rFonts w:ascii="Times New Roman" w:hAnsi="Times New Roman"/>
          <w:color w:val="000000"/>
          <w:sz w:val="24"/>
        </w:rPr>
        <w:t>. The obligations of the Company, on the one hand, and the Investors, on the other hand, to effect the Closing shall terminate as follows:</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the mutual written consent of the Company and the Investors that agreed to purchase a majority of the Shares prior to the Closing;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 xml:space="preserve">By the Company if any of the conditions set forth in </w:t>
      </w:r>
      <w:r>
        <w:rPr>
          <w:rFonts w:ascii="Times New Roman" w:hAnsi="Times New Roman"/>
          <w:color w:val="000000"/>
          <w:sz w:val="24"/>
          <w:u w:val="single"/>
        </w:rPr>
        <w:t>Section 6.2</w:t>
      </w:r>
      <w:r>
        <w:rPr>
          <w:color w:val="000000"/>
        </w:rPr>
        <w:t xml:space="preserve"> </w:t>
      </w:r>
      <w:r>
        <w:rPr>
          <w:rFonts w:ascii="Times New Roman" w:hAnsi="Times New Roman"/>
          <w:color w:val="000000"/>
          <w:sz w:val="24"/>
        </w:rPr>
        <w:t>shall have become incapable of fulfillment, and shall not have been waived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rPr>
        <w:t xml:space="preserve">By an Investor (with respect to itself only) if any of the conditions set forth in </w:t>
      </w:r>
      <w:r>
        <w:rPr>
          <w:rFonts w:ascii="Times New Roman" w:hAnsi="Times New Roman"/>
          <w:color w:val="000000"/>
          <w:sz w:val="24"/>
          <w:u w:val="single"/>
        </w:rPr>
        <w:t>Section 6.1</w:t>
      </w:r>
      <w:r>
        <w:rPr>
          <w:color w:val="000000"/>
        </w:rPr>
        <w:t xml:space="preserve"> </w:t>
      </w:r>
      <w:r>
        <w:rPr>
          <w:rFonts w:ascii="Times New Roman" w:hAnsi="Times New Roman"/>
          <w:color w:val="000000"/>
          <w:sz w:val="24"/>
        </w:rPr>
        <w:t>shall have become incapable of fulfillment, and shall not have been waived by such Investor;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By either the Company or an Investor (with respect to itself only) if the Closing has not occurred on or prior to the fifth Business Day following the date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provided, however, that, in the case of clauses (ii) and (iii) above, the party seeking to terminate its obligation to effect the Closing shall not then be in breach of any of its representations, warranties, covenants or agreements contained in the Transaction Agreements if such breach has resulted in the circumstances giving rise to such party’s seeking to terminate its obligation to effect the Closing.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7.2</w:t>
      </w:r>
    </w:p>
    <w:p>
      <w:pPr>
        <w:pStyle w:val="TextBody"/>
        <w:bidi w:val="0"/>
        <w:spacing w:before="0" w:after="240"/>
        <w:jc w:val="both"/>
        <w:rPr/>
      </w:pPr>
      <w:r>
        <w:rPr>
          <w:rFonts w:ascii="Times New Roman" w:hAnsi="Times New Roman"/>
          <w:color w:val="000000"/>
          <w:sz w:val="24"/>
          <w:u w:val="single"/>
        </w:rPr>
        <w:t>Notice</w:t>
      </w:r>
      <w:r>
        <w:rPr>
          <w:rFonts w:ascii="Times New Roman" w:hAnsi="Times New Roman"/>
          <w:color w:val="000000"/>
          <w:sz w:val="24"/>
        </w:rPr>
        <w:t xml:space="preserve">. In the event of termination by the Company or the Investor of its obligations to effect the Closing pursuant to </w:t>
      </w:r>
      <w:r>
        <w:rPr>
          <w:rFonts w:ascii="Times New Roman" w:hAnsi="Times New Roman"/>
          <w:color w:val="000000"/>
          <w:sz w:val="24"/>
          <w:u w:val="single"/>
        </w:rPr>
        <w:t>Section 7.1</w:t>
      </w:r>
      <w:r>
        <w:rPr>
          <w:rFonts w:ascii="Times New Roman" w:hAnsi="Times New Roman"/>
          <w:color w:val="000000"/>
          <w:sz w:val="24"/>
        </w:rPr>
        <w:t xml:space="preserve">, written notice thereof shall be given to the other Investors by the Company. Nothing in this </w:t>
      </w:r>
      <w:r>
        <w:rPr>
          <w:rFonts w:ascii="Times New Roman" w:hAnsi="Times New Roman"/>
          <w:color w:val="000000"/>
          <w:sz w:val="24"/>
          <w:u w:val="single"/>
        </w:rPr>
        <w:t>Section 7</w:t>
      </w:r>
      <w:r>
        <w:rPr>
          <w:color w:val="000000"/>
        </w:rPr>
        <w:t xml:space="preserve"> </w:t>
      </w:r>
      <w:r>
        <w:rPr>
          <w:rFonts w:ascii="Times New Roman" w:hAnsi="Times New Roman"/>
          <w:color w:val="000000"/>
          <w:sz w:val="24"/>
        </w:rPr>
        <w:t>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pPr>
      <w:r>
        <w:rPr>
          <w:rFonts w:ascii="Times New Roman" w:hAnsi="Times New Roman"/>
          <w:color w:val="000000"/>
          <w:sz w:val="24"/>
          <w:u w:val="single"/>
        </w:rPr>
        <w:t>Miscellaneous Provisions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8.1</w:t>
      </w:r>
    </w:p>
    <w:p>
      <w:pPr>
        <w:pStyle w:val="TextBody"/>
        <w:bidi w:val="0"/>
        <w:spacing w:before="0" w:after="240"/>
        <w:jc w:val="both"/>
        <w:rPr/>
      </w:pPr>
      <w:r>
        <w:rPr>
          <w:rFonts w:ascii="Times New Roman" w:hAnsi="Times New Roman"/>
          <w:color w:val="000000"/>
          <w:sz w:val="24"/>
          <w:u w:val="single"/>
        </w:rPr>
        <w:t>Public Statements or Releases</w:t>
      </w:r>
      <w:r>
        <w:rPr>
          <w:rFonts w:ascii="Times New Roman" w:hAnsi="Times New Roman"/>
          <w:color w:val="000000"/>
          <w:sz w:val="24"/>
        </w:rPr>
        <w:t xml:space="preserve">. Except as set forth in </w:t>
      </w:r>
      <w:r>
        <w:rPr>
          <w:rFonts w:ascii="Times New Roman" w:hAnsi="Times New Roman"/>
          <w:color w:val="000000"/>
          <w:sz w:val="24"/>
          <w:u w:val="single"/>
        </w:rPr>
        <w:t>Section 5.3</w:t>
      </w:r>
      <w:r>
        <w:rPr>
          <w:rFonts w:ascii="Times New Roman" w:hAnsi="Times New Roman"/>
          <w:color w:val="000000"/>
          <w:sz w:val="24"/>
        </w:rPr>
        <w:t xml:space="preserve">, neither the Company nor any Investor shall make any public announcement with respect to the existence or terms of this Agreement or the transactions provided for herein without the prior consent of the other party (which consent shall not be unreasonably withheld). Notwithstanding the foregoing, and subject to compliance with </w:t>
      </w:r>
      <w:r>
        <w:rPr>
          <w:rFonts w:ascii="Times New Roman" w:hAnsi="Times New Roman"/>
          <w:color w:val="000000"/>
          <w:sz w:val="24"/>
          <w:u w:val="single"/>
        </w:rPr>
        <w:t>Section 5.3</w:t>
      </w:r>
      <w:r>
        <w:rPr>
          <w:rFonts w:ascii="Times New Roman" w:hAnsi="Times New Roman"/>
          <w:color w:val="000000"/>
          <w:sz w:val="24"/>
        </w:rPr>
        <w:t xml:space="preserve">, nothing in this </w:t>
      </w:r>
      <w:r>
        <w:rPr>
          <w:rFonts w:ascii="Times New Roman" w:hAnsi="Times New Roman"/>
          <w:color w:val="000000"/>
          <w:sz w:val="24"/>
          <w:u w:val="single"/>
        </w:rPr>
        <w:t>Section 8.1</w:t>
      </w:r>
      <w:r>
        <w:rPr>
          <w:color w:val="000000"/>
        </w:rPr>
        <w:t xml:space="preserve"> </w:t>
      </w:r>
      <w:r>
        <w:rPr>
          <w:rFonts w:ascii="Times New Roman" w:hAnsi="Times New Roman"/>
          <w:color w:val="000000"/>
          <w:sz w:val="24"/>
        </w:rPr>
        <w:t xml:space="preserve">shall prevent any party from making any public announcement it considers necessary in order to satisfy its obligations under the law, including applicable securities laws, or under the rules of any national securities exchange or securities market, in which case the Company shall allow the Investors reasonable time to comment on such release or announcement in advance of such issuance, and the Company will consider in good faith any Investor comments. The Company shall not include the name of the Investor in any press release or public announcement (which, for the avoidance of doubt, shall not include any filing with the SEC if so required by the applicable rules of the SEC) without the prior written consent of the Investors, except as otherwise required by law or the applicable rules or regulations of any securities exchange or securities market, in which case the Company shall allow the Investors, to the extent reasonably practicable in the circumstances, reasonable time to comment on such release or announcement in advance of such issuance. Notwithstanding anything to the contrary in this </w:t>
      </w:r>
      <w:r>
        <w:rPr>
          <w:rFonts w:ascii="Times New Roman" w:hAnsi="Times New Roman"/>
          <w:color w:val="000000"/>
          <w:sz w:val="24"/>
          <w:u w:val="single"/>
        </w:rPr>
        <w:t>Section 8.1</w:t>
      </w:r>
      <w:r>
        <w:rPr>
          <w:rFonts w:ascii="Times New Roman" w:hAnsi="Times New Roman"/>
          <w:color w:val="000000"/>
          <w:sz w:val="24"/>
        </w:rPr>
        <w:t>, Investor review shall not be required for Company disclosures that are substantially consistent with prior Company disclosures.</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8.2</w:t>
      </w:r>
    </w:p>
    <w:p>
      <w:pPr>
        <w:pStyle w:val="TextBody"/>
        <w:bidi w:val="0"/>
        <w:spacing w:before="0" w:after="240"/>
        <w:jc w:val="both"/>
        <w:rPr/>
      </w:pPr>
      <w:r>
        <w:rPr>
          <w:rFonts w:ascii="Times New Roman" w:hAnsi="Times New Roman"/>
          <w:color w:val="000000"/>
          <w:sz w:val="24"/>
          <w:u w:val="single"/>
        </w:rPr>
        <w:t>Notices</w:t>
      </w:r>
      <w:r>
        <w:rPr>
          <w:rFonts w:ascii="Times New Roman" w:hAnsi="Times New Roman"/>
          <w:color w:val="000000"/>
          <w:sz w:val="24"/>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the earlier of (x) confirmation of receipt or (y) on the open of business on the recipient’s next Business Day,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to the Company, addressed as follows:</w:t>
      </w:r>
    </w:p>
    <w:p>
      <w:pPr>
        <w:pStyle w:val="TextBody"/>
        <w:bidi w:val="0"/>
        <w:jc w:val="left"/>
        <w:rPr>
          <w:rFonts w:ascii="Times New Roman" w:hAnsi="Times New Roman"/>
          <w:color w:val="000000"/>
          <w:sz w:val="24"/>
        </w:rPr>
      </w:pPr>
      <w:r>
        <w:rPr>
          <w:rFonts w:ascii="Times New Roman" w:hAnsi="Times New Roman"/>
          <w:color w:val="000000"/>
          <w:sz w:val="24"/>
        </w:rPr>
        <w:t>Vor Biopharma Inc.</w:t>
      </w:r>
    </w:p>
    <w:p>
      <w:pPr>
        <w:pStyle w:val="TextBody"/>
        <w:bidi w:val="0"/>
        <w:jc w:val="left"/>
        <w:rPr>
          <w:rFonts w:ascii="Times New Roman" w:hAnsi="Times New Roman"/>
          <w:color w:val="000000"/>
          <w:sz w:val="24"/>
        </w:rPr>
      </w:pPr>
      <w:r>
        <w:rPr>
          <w:rFonts w:ascii="Times New Roman" w:hAnsi="Times New Roman"/>
          <w:color w:val="000000"/>
          <w:sz w:val="24"/>
        </w:rPr>
        <w:t>500 Boylston Street, Suite 1350</w:t>
        <w:br/>
        <w:t>Boston, Massachusetts 02116</w:t>
      </w:r>
    </w:p>
    <w:p>
      <w:pPr>
        <w:pStyle w:val="TextBody"/>
        <w:bidi w:val="0"/>
        <w:jc w:val="left"/>
        <w:rPr>
          <w:rFonts w:ascii="Times New Roman" w:hAnsi="Times New Roman"/>
          <w:color w:val="000000"/>
          <w:sz w:val="24"/>
        </w:rPr>
      </w:pPr>
      <w:r>
        <w:rPr>
          <w:rFonts w:ascii="Times New Roman" w:hAnsi="Times New Roman"/>
          <w:color w:val="000000"/>
          <w:sz w:val="24"/>
        </w:rPr>
        <w:t>Attention: Adi Osovsky</w:t>
        <w:br/>
        <w:t>Email: aosovsky@vorbio.com</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a copy (which shall not constitute notice):</w:t>
      </w:r>
    </w:p>
    <w:p>
      <w:pPr>
        <w:pStyle w:val="TextBody"/>
        <w:bidi w:val="0"/>
        <w:jc w:val="left"/>
        <w:rPr>
          <w:rFonts w:ascii="Times New Roman" w:hAnsi="Times New Roman"/>
          <w:color w:val="000000"/>
          <w:sz w:val="24"/>
        </w:rPr>
      </w:pPr>
      <w:r>
        <w:rPr>
          <w:rFonts w:ascii="Times New Roman" w:hAnsi="Times New Roman"/>
          <w:color w:val="000000"/>
          <w:sz w:val="24"/>
        </w:rPr>
        <w:t>Cooley LLP</w:t>
        <w:br/>
        <w:t>1299 Pennsylvania Avenue NW STE 700</w:t>
        <w:br/>
        <w:t>Washington, DC 20221</w:t>
      </w:r>
    </w:p>
    <w:p>
      <w:pPr>
        <w:pStyle w:val="TextBody"/>
        <w:bidi w:val="0"/>
        <w:jc w:val="left"/>
        <w:rPr>
          <w:rFonts w:ascii="Times New Roman" w:hAnsi="Times New Roman"/>
          <w:sz w:val="20"/>
        </w:rPr>
      </w:pPr>
      <w:r>
        <w:rPr>
          <w:rFonts w:ascii="Times New Roman" w:hAnsi="Times New Roman"/>
          <w:color w:val="000000"/>
          <w:sz w:val="24"/>
        </w:rPr>
        <w:t xml:space="preserve">Attention: </w:t>
      </w:r>
      <w:r>
        <w:rPr>
          <w:rFonts w:ascii="Times New Roman" w:hAnsi="Times New Roman"/>
          <w:color w:val="000000"/>
          <w:sz w:val="22"/>
        </w:rPr>
        <w:t>Madison Jones</w:t>
      </w:r>
      <w:r>
        <w:rPr>
          <w:rFonts w:ascii="Times New Roman" w:hAnsi="Times New Roman"/>
          <w:color w:val="000000"/>
          <w:sz w:val="24"/>
        </w:rPr>
        <w:br/>
        <w:t>Email: madison.jones@cooley.com</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If to any Investor, at its address or e-mail address set forth on the signature pages hereto or </w:t>
      </w:r>
      <w:r>
        <w:rPr>
          <w:rFonts w:ascii="Times New Roman" w:hAnsi="Times New Roman"/>
          <w:color w:val="000000"/>
          <w:sz w:val="24"/>
          <w:u w:val="single"/>
        </w:rPr>
        <w:t>Exhibit A</w:t>
      </w:r>
      <w:r>
        <w:rPr>
          <w:rFonts w:ascii="Times New Roman" w:hAnsi="Times New Roman"/>
          <w:color w:val="000000"/>
          <w:sz w:val="24"/>
        </w:rPr>
        <w:t xml:space="preserve">, or such address as subsequently modified by written notice given in accordance with this </w:t>
      </w:r>
      <w:r>
        <w:rPr>
          <w:rFonts w:ascii="Times New Roman" w:hAnsi="Times New Roman"/>
          <w:color w:val="000000"/>
          <w:sz w:val="24"/>
          <w:u w:val="single"/>
        </w:rPr>
        <w:t>Section 8.2</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Person may change the address to which notices and communications to it are to be addressed by notification as provided for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8.3</w:t>
      </w:r>
    </w:p>
    <w:p>
      <w:pPr>
        <w:pStyle w:val="TextBody"/>
        <w:bidi w:val="0"/>
        <w:spacing w:before="0" w:after="240"/>
        <w:jc w:val="both"/>
        <w:rPr/>
      </w:pPr>
      <w:r>
        <w:rPr>
          <w:rFonts w:ascii="Times New Roman" w:hAnsi="Times New Roman"/>
          <w:color w:val="000000"/>
          <w:sz w:val="24"/>
          <w:u w:val="single"/>
        </w:rPr>
        <w:t>Consent to Electronic Notice</w:t>
      </w:r>
      <w:r>
        <w:rPr>
          <w:rFonts w:ascii="Times New Roman" w:hAnsi="Times New Roman"/>
          <w:color w:val="000000"/>
          <w:sz w:val="24"/>
        </w:rPr>
        <w:t xml:space="preserve">. Each Investor consents to the delivery of any stockholder notice pursuant to the DGCL, as amended or superseded from time to time, by electronic mail pursuant to Section 232 of the DGCL (or any successor thereto) at the e-mail address set forth below the Investor’s name on the signature pages hereto or </w:t>
      </w:r>
      <w:r>
        <w:rPr>
          <w:rFonts w:ascii="Times New Roman" w:hAnsi="Times New Roman"/>
          <w:color w:val="000000"/>
          <w:sz w:val="24"/>
          <w:u w:val="single"/>
        </w:rPr>
        <w:t>Exhibit A</w:t>
      </w:r>
      <w:r>
        <w:rPr>
          <w:rFonts w:ascii="Times New Roman" w:hAnsi="Times New Roman"/>
          <w:color w:val="000000"/>
          <w:sz w:val="24"/>
        </w:rPr>
        <w:t>,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8.4</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xml:space="preserve">. If any part or provision of this Agreement is held unenforceable or in conflict with the applicable laws or regulations of any jurisdiction, the invalid </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8.5</w:t>
      </w:r>
    </w:p>
    <w:p>
      <w:pPr>
        <w:pStyle w:val="TextBody"/>
        <w:bidi w:val="0"/>
        <w:spacing w:before="0" w:after="240"/>
        <w:jc w:val="both"/>
        <w:rPr/>
      </w:pPr>
      <w:r>
        <w:rPr>
          <w:rFonts w:ascii="Times New Roman" w:hAnsi="Times New Roman"/>
          <w:color w:val="000000"/>
          <w:sz w:val="24"/>
          <w:u w:val="single"/>
        </w:rPr>
        <w:t>Governing Law; Submission to Jurisdiction; Venue; Waiver of Trial by Jury</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shall be governed by, and construed in accordance with, the laws of the State of New York without regard to choice of laws or conflicts of laws provisions thereof that would require the application of the laws of any other jurisdiction, except to the extent that mandatory principles of Delaware law may apply.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and each of the Investors hereby irrevocably and unconditionally: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submits for itself and its property in any legal action or proceeding relating solely to this Agreement or the transactions contemplated hereby, to the general jurisdiction of the any state court or United States Federal court sitting in the Borough of Manhattan, City of New York in the State of New York;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rPr>
        <w:t xml:space="preserve">agrees that service of process in any such action or proceeding may be effected by mailing a copy thereof by registered or certified mail (or any substantially similar form of mail), postage prepaid, to the party, as the case may be, at its address set forth in </w:t>
      </w:r>
      <w:r>
        <w:rPr>
          <w:rFonts w:ascii="Times New Roman" w:hAnsi="Times New Roman"/>
          <w:color w:val="000000"/>
          <w:sz w:val="24"/>
          <w:u w:val="single"/>
        </w:rPr>
        <w:t>Section 8.2</w:t>
      </w:r>
      <w:r>
        <w:rPr>
          <w:color w:val="000000"/>
        </w:rPr>
        <w:t xml:space="preserve"> </w:t>
      </w:r>
      <w:r>
        <w:rPr>
          <w:rFonts w:ascii="Times New Roman" w:hAnsi="Times New Roman"/>
          <w:color w:val="000000"/>
          <w:sz w:val="24"/>
        </w:rPr>
        <w:t>or at such other address of which the other party shall have been notified pursuant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irrevocably and unconditionally waives trial by jury in any legal action or proceeding in relation to this Agreement.</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8.6</w:t>
      </w:r>
    </w:p>
    <w:p>
      <w:pPr>
        <w:pStyle w:val="TextBody"/>
        <w:bidi w:val="0"/>
        <w:spacing w:before="0" w:after="240"/>
        <w:jc w:val="both"/>
        <w:rPr/>
      </w:pPr>
      <w:r>
        <w:rPr>
          <w:rFonts w:ascii="Times New Roman" w:hAnsi="Times New Roman"/>
          <w:color w:val="000000"/>
          <w:sz w:val="24"/>
          <w:u w:val="single"/>
        </w:rPr>
        <w:t>Waiver</w:t>
      </w:r>
      <w:r>
        <w:rPr>
          <w:rFonts w:ascii="Times New Roman" w:hAnsi="Times New Roman"/>
          <w:color w:val="000000"/>
          <w:sz w:val="24"/>
        </w:rPr>
        <w:t>.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8.7</w:t>
      </w:r>
    </w:p>
    <w:p>
      <w:pPr>
        <w:pStyle w:val="TextBody"/>
        <w:bidi w:val="0"/>
        <w:spacing w:before="0" w:after="240"/>
        <w:jc w:val="both"/>
        <w:rPr/>
      </w:pPr>
      <w:r>
        <w:rPr>
          <w:rFonts w:ascii="Times New Roman" w:hAnsi="Times New Roman"/>
          <w:color w:val="000000"/>
          <w:sz w:val="24"/>
          <w:u w:val="single"/>
        </w:rPr>
        <w:t>Expenses</w:t>
      </w:r>
      <w:r>
        <w:rPr>
          <w:rFonts w:ascii="Times New Roman" w:hAnsi="Times New Roman"/>
          <w:color w:val="000000"/>
          <w:sz w:val="24"/>
        </w:rPr>
        <w:t>.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Shares and the consummation of the transactions contemplated thereby; provided, however, that the Company shall pay all Transfer Agent fees (including, without limitation, any fees required for same-day processing of any instruction letter delivered by the Company), stamp taxes and other taxes (other than income taxes) and duties levied in connection with the delivery of any Shares to the Investors.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8.8</w:t>
      </w:r>
    </w:p>
    <w:p>
      <w:pPr>
        <w:pStyle w:val="TextBody"/>
        <w:bidi w:val="0"/>
        <w:spacing w:before="0" w:after="240"/>
        <w:jc w:val="both"/>
        <w:rPr/>
      </w:pPr>
      <w:r>
        <w:rPr>
          <w:rFonts w:ascii="Times New Roman" w:hAnsi="Times New Roman"/>
          <w:color w:val="000000"/>
          <w:sz w:val="24"/>
          <w:u w:val="single"/>
        </w:rPr>
        <w:t>Assignment</w:t>
      </w:r>
      <w:r>
        <w:rPr>
          <w:rFonts w:ascii="Times New Roman" w:hAnsi="Times New Roman"/>
          <w:color w:val="000000"/>
          <w:sz w:val="24"/>
        </w:rPr>
        <w:t xml:space="preserve">. None of the parties may assign its rights or obligations under this Agreement or designate another person (i) to perform all or part of its obligations under this Agreement or (ii) to have all or part of its rights and benefits under this Agreement, in each case without the prior written consent of (x) the Company, in the case of an Investor, and (y) the Investors, in the case of the Company, provided that an Investor may, without the prior consent of the Company, assign its rights to purchase the Shares hereunder to any of its Affiliates or to any other investment funds or accounts managed or advised by the investment manager who acts on behalf of such Investor (provided each such assignee agrees to be bound by the terms of this Agreement and makes the same representations and warranties set forth in </w:t>
      </w:r>
      <w:r>
        <w:rPr>
          <w:rFonts w:ascii="Times New Roman" w:hAnsi="Times New Roman"/>
          <w:color w:val="000000"/>
          <w:sz w:val="24"/>
          <w:u w:val="single"/>
        </w:rPr>
        <w:t>Section 4</w:t>
      </w:r>
      <w:r>
        <w:rPr>
          <w:color w:val="000000"/>
        </w:rPr>
        <w:t xml:space="preserve"> </w:t>
      </w:r>
      <w:r>
        <w:rPr>
          <w:rFonts w:ascii="Times New Roman" w:hAnsi="Times New Roman"/>
          <w:color w:val="000000"/>
          <w:sz w:val="24"/>
        </w:rPr>
        <w:t>).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8.9</w:t>
      </w:r>
    </w:p>
    <w:p>
      <w:pPr>
        <w:pStyle w:val="TextBody"/>
        <w:bidi w:val="0"/>
        <w:spacing w:before="0" w:after="240"/>
        <w:jc w:val="both"/>
        <w:rPr/>
      </w:pPr>
      <w:r>
        <w:rPr>
          <w:rFonts w:ascii="Times New Roman" w:hAnsi="Times New Roman"/>
          <w:color w:val="000000"/>
          <w:sz w:val="24"/>
          <w:u w:val="single"/>
        </w:rPr>
        <w:t>Confidential Information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Investor covenants that until such time as the transactions contemplated by this Agreement and any material non-public information provided to such Investor are publicly disclosed by the Company, such Investor will maintain the confidentiality of all disclosures made to it in connection with this transaction (including the existence and terms of this transaction), other than to such Investor’s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may request from the Investors such reasonable and customary additional information as the Company may deem necessary to evaluate the eligibility of the Investor to acquire the Shares, and the Investor shall promptly provide such information as may reasonably be requested to the extent readily available; provided, that the Company agrees to keep any such information provided by the Investor confidential, except (i) as required by the federal securities laws, rules or regulations and (ii) to the extent such disclosure is required by </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other laws, rules or regulations, at the request of the staff of the SEC or regulatory agency or under the regulations of Nasdaq. The Investor acknowledges that the Company may file a copy of this Agreement and the Registration Rights Agreement with the SEC as exhibit to a periodic report or a registration statement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8.10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8.11</w:t>
      </w:r>
    </w:p>
    <w:p>
      <w:pPr>
        <w:pStyle w:val="TextBody"/>
        <w:bidi w:val="0"/>
        <w:spacing w:before="0" w:after="240"/>
        <w:jc w:val="both"/>
        <w:rPr/>
      </w:pPr>
      <w:r>
        <w:rPr>
          <w:rFonts w:ascii="Times New Roman" w:hAnsi="Times New Roman"/>
          <w:color w:val="000000"/>
          <w:sz w:val="24"/>
          <w:u w:val="single"/>
        </w:rPr>
        <w:t>Third Parties</w:t>
      </w:r>
      <w:r>
        <w:rPr>
          <w:rFonts w:ascii="Times New Roman" w:hAnsi="Times New Roman"/>
          <w:color w:val="000000"/>
          <w:sz w:val="24"/>
        </w:rPr>
        <w:t xml:space="preserve">.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Notwithstanding the foregoing, the Indemnified Persons are intended third-party beneficiaries of </w:t>
      </w:r>
      <w:r>
        <w:rPr>
          <w:rFonts w:ascii="Times New Roman" w:hAnsi="Times New Roman"/>
          <w:color w:val="000000"/>
          <w:sz w:val="24"/>
          <w:u w:val="single"/>
        </w:rPr>
        <w:t>Section 5.9</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8.12</w:t>
      </w:r>
    </w:p>
    <w:p>
      <w:pPr>
        <w:pStyle w:val="TextBody"/>
        <w:bidi w:val="0"/>
        <w:spacing w:before="0" w:after="240"/>
        <w:jc w:val="both"/>
        <w:rPr/>
      </w:pPr>
      <w:r>
        <w:rPr>
          <w:rFonts w:ascii="Times New Roman" w:hAnsi="Times New Roman"/>
          <w:color w:val="000000"/>
          <w:sz w:val="24"/>
          <w:u w:val="single"/>
        </w:rPr>
        <w:t>Independent Nature of Investors’ Obligations and Right.</w:t>
      </w:r>
      <w:r>
        <w:rPr>
          <w:color w:val="000000"/>
        </w:rPr>
        <w:t xml:space="preserve"> </w:t>
      </w:r>
      <w:r>
        <w:rPr>
          <w:rFonts w:ascii="Times New Roman" w:hAnsi="Times New Roman"/>
          <w:color w:val="000000"/>
          <w:sz w:val="24"/>
        </w:rPr>
        <w:t>The obligations of each Investor under this Agreement are several and not joint with the obligations of any other Investor, and no Investor shall be responsible in any way for the performance obligations of any other Investor under this Agreement. Nothing contained herein, and no action taken by any Investor pursuant hereto, shall be deemed to constitute the Investors as, and the Company acknowledges that the Investors do not so constitute, a partnership, an association, a joint venture or any other kind of entity, or create a presumption that the Investors are in any way acting in concert or as a group, and the Company will not assert any such claim with respect to such obligations or the transactions contemplated by this Agreement. The Company acknowledges and each Investor confirms that it has independently participated in the negotiation of the transaction contemplated hereby with the advice of its own counsel and advisors. Each Investor also acknowledges that Cooley has not rendered legal advice to such Investor. Each Investor shall be entitled to independently protect and enforce its rights, including, without limitation, the rights arising out of this Agreement, and it shall not be necessary for any other Investor to be joined as an additional party in any proceeding for such purpose. The Company has elected to provide all Investors with the same terms and Transaction Agreements for the convenience of the Company and not because it was required or requested to do so by any Investor.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8.13</w:t>
      </w:r>
    </w:p>
    <w:p>
      <w:pPr>
        <w:pStyle w:val="TextBody"/>
        <w:bidi w:val="0"/>
        <w:spacing w:before="0" w:after="240"/>
        <w:jc w:val="both"/>
        <w:rPr/>
      </w:pPr>
      <w:r>
        <w:rPr>
          <w:rFonts w:ascii="Times New Roman" w:hAnsi="Times New Roman"/>
          <w:color w:val="000000"/>
          <w:sz w:val="24"/>
          <w:u w:val="single"/>
        </w:rPr>
        <w:t>Headings</w:t>
      </w:r>
      <w:r>
        <w:rPr>
          <w:rFonts w:ascii="Times New Roman" w:hAnsi="Times New Roman"/>
          <w:color w:val="000000"/>
          <w:sz w:val="24"/>
        </w:rPr>
        <w:t>. The titles, subtitles and headings in this Agreement are for convenience of reference and shall not form part of, or affect the interpretation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8.14</w:t>
      </w:r>
    </w:p>
    <w:p>
      <w:pPr>
        <w:pStyle w:val="TextBody"/>
        <w:bidi w:val="0"/>
        <w:spacing w:before="0" w:after="240"/>
        <w:jc w:val="both"/>
        <w:rPr/>
      </w:pPr>
      <w:r>
        <w:rPr>
          <w:rFonts w:ascii="Times New Roman" w:hAnsi="Times New Roman"/>
          <w:color w:val="000000"/>
          <w:sz w:val="24"/>
          <w:u w:val="single"/>
        </w:rPr>
        <w:t>Counterparts</w:t>
      </w:r>
      <w:r>
        <w:rPr>
          <w:rFonts w:ascii="Times New Roman" w:hAnsi="Times New Roman"/>
          <w:color w:val="000000"/>
          <w:sz w:val="24"/>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8.15</w:t>
      </w:r>
    </w:p>
    <w:p>
      <w:pPr>
        <w:pStyle w:val="TextBody"/>
        <w:bidi w:val="0"/>
        <w:spacing w:before="0" w:after="240"/>
        <w:jc w:val="both"/>
        <w:rPr/>
      </w:pPr>
      <w:r>
        <w:rPr>
          <w:rFonts w:ascii="Times New Roman" w:hAnsi="Times New Roman"/>
          <w:color w:val="000000"/>
          <w:sz w:val="24"/>
          <w:u w:val="single"/>
        </w:rPr>
        <w:t>Entire Agreement; Amendments</w:t>
      </w:r>
      <w:r>
        <w:rPr>
          <w:rFonts w:ascii="Times New Roman" w:hAnsi="Times New Roman"/>
          <w:color w:val="000000"/>
          <w:sz w:val="24"/>
        </w:rPr>
        <w:t>. This Agreement and the other Transaction Agreements (including all schedules and exhibits hereto and thereto), together with any side letter agreements with any of the Investors, constitute the entire agreement between the parties hereto respecting the subject matter of this Agreement and supersedes all prior agreements, negotiations, understandings, representations and statements respecting the subject matter of this Agreement, whether written or oral. No amendment, modification, alteration, or change in any of the terms of this Agreement shall be valid or binding upon the parties hereto unless made in writing and duly executed by the Company and the Investors of at least a majority in interest of the Shares then held by the Investors, provided that prior to the Closing the consent of all Investors shall be required. Notwithstanding the foregoing, this Agreement may not be amended and the observance of any term of this Agreement may not be waived with respect to any Investor without the written consent of such Investor unless such amendment or waiver applies to all Investors in the same fashion. The Company, on the one hand, and each Investor, on the other hand, may by an instrument signed in writing by such parties waive the performance, compliance or satisfaction by such Investor or the Company, respectively, with any term or provision of this Agreement or any condition hereto to be performed, complied with or satisfied by such Investor or the Company, respectively.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8.16</w:t>
      </w:r>
    </w:p>
    <w:p>
      <w:pPr>
        <w:pStyle w:val="TextBody"/>
        <w:bidi w:val="0"/>
        <w:spacing w:before="0" w:after="240"/>
        <w:jc w:val="both"/>
        <w:rPr/>
      </w:pPr>
      <w:r>
        <w:rPr>
          <w:rFonts w:ascii="Times New Roman" w:hAnsi="Times New Roman"/>
          <w:color w:val="000000"/>
          <w:sz w:val="24"/>
          <w:u w:val="single"/>
        </w:rPr>
        <w:t>Survival</w:t>
      </w:r>
      <w:r>
        <w:rPr>
          <w:rFonts w:ascii="Times New Roman" w:hAnsi="Times New Roman"/>
          <w:color w:val="000000"/>
          <w:sz w:val="24"/>
        </w:rPr>
        <w:t>. The covenants, representations and warranties made by each party hereto contained in this Agreement shall survive the Closing and the delivery of the Shares in accordance with their respective terms. Each Investor shall be responsible only for its own representations, warranties, agreements and covenants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8.17</w:t>
      </w:r>
    </w:p>
    <w:p>
      <w:pPr>
        <w:pStyle w:val="TextBody"/>
        <w:bidi w:val="0"/>
        <w:spacing w:before="0" w:after="240"/>
        <w:jc w:val="both"/>
        <w:rPr/>
      </w:pPr>
      <w:r>
        <w:rPr>
          <w:rFonts w:ascii="Times New Roman" w:hAnsi="Times New Roman"/>
          <w:color w:val="000000"/>
          <w:sz w:val="24"/>
          <w:u w:val="single"/>
        </w:rPr>
        <w:t>Contract Interpretation.</w:t>
      </w:r>
      <w:r>
        <w:rPr>
          <w:color w:val="000000"/>
        </w:rPr>
        <w:t xml:space="preserve"> </w:t>
      </w:r>
      <w:r>
        <w:rPr>
          <w:rFonts w:ascii="Times New Roman" w:hAnsi="Times New Roman"/>
          <w:color w:val="000000"/>
          <w:sz w:val="24"/>
        </w:rPr>
        <w:t>This Agreement is the joint product of each Investor and the Company and each provision of this Agreement has been subject to the mutual consultation, negotiation and agreement of such parties and shall not be construed for or against any party 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8.18</w:t>
      </w:r>
    </w:p>
    <w:p>
      <w:pPr>
        <w:pStyle w:val="TextBody"/>
        <w:bidi w:val="0"/>
        <w:spacing w:before="0" w:after="240"/>
        <w:jc w:val="both"/>
        <w:rPr/>
      </w:pPr>
      <w:r>
        <w:rPr>
          <w:rFonts w:ascii="Times New Roman" w:hAnsi="Times New Roman"/>
          <w:color w:val="000000"/>
          <w:sz w:val="24"/>
          <w:u w:val="single"/>
        </w:rPr>
        <w:t>Arm’s Length Negotiations</w:t>
      </w:r>
      <w:r>
        <w:rPr>
          <w:rFonts w:ascii="Times New Roman" w:hAnsi="Times New Roman"/>
          <w:color w:val="000000"/>
          <w:sz w:val="24"/>
        </w:rPr>
        <w:t xml:space="preserve">. For the avoidance of doubt, the parties acknowledge and confirm that the terms and conditions of the Shares were determined as a result of arm’s-length negotiations.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8.19</w:t>
      </w:r>
    </w:p>
    <w:p>
      <w:pPr>
        <w:pStyle w:val="TextBody"/>
        <w:bidi w:val="0"/>
        <w:spacing w:before="0" w:after="240"/>
        <w:jc w:val="both"/>
        <w:rPr/>
      </w:pPr>
      <w:r>
        <w:rPr>
          <w:rFonts w:ascii="Times New Roman" w:hAnsi="Times New Roman"/>
          <w:color w:val="000000"/>
          <w:sz w:val="24"/>
          <w:u w:val="single"/>
        </w:rPr>
        <w:t>Waiver of Conflicts</w:t>
      </w:r>
      <w:r>
        <w:rPr>
          <w:rFonts w:ascii="Times New Roman" w:hAnsi="Times New Roman"/>
          <w:color w:val="000000"/>
          <w:sz w:val="24"/>
        </w:rPr>
        <w:t>. Each party to this instrument acknowledges that Cooley has acted as counsel solely to the Company with respect to this instrument and the transactions contemplated hereby (together, the “</w:t>
      </w:r>
      <w:r>
        <w:rPr>
          <w:rFonts w:ascii="Times New Roman" w:hAnsi="Times New Roman"/>
          <w:b/>
          <w:color w:val="000000"/>
          <w:sz w:val="24"/>
        </w:rPr>
        <w:t>Financing</w:t>
      </w:r>
      <w:r>
        <w:rPr>
          <w:color w:val="000000"/>
        </w:rPr>
        <w:t>”</w:t>
      </w:r>
      <w:r>
        <w:rPr>
          <w:rFonts w:ascii="Times New Roman" w:hAnsi="Times New Roman"/>
          <w:color w:val="000000"/>
          <w:sz w:val="24"/>
        </w:rPr>
        <w:t xml:space="preserve">), and has negotiated the terms of the Financing solely on behalf of the Company. Cooley may have, in the past, represented and/or may, now or in the future, represent the Investor and/or its affiliates in other matters, including matters that are similar, but not substantially related, to the Financing. The applicable rules of professional conduct require that Cooley inform its clients of these representations and obtain their waivers of the conflicts that may arise from such representations. Each of the Company and the Investor hereby (i) acknowledges that such party has been advised about such circumstances and has had an opportunity to ask for additional information; (ii) acknowledges that, with respect to the Financing, Cooley has represented solely the Company and no other party; and (iii) gives its informed consent to Cooley’s representation of the Company in the Financing and Cooley’s representation of the Investor and/or its affiliates in other matters. </w:t>
      </w:r>
    </w:p>
    <w:p>
      <w:pPr>
        <w:pStyle w:val="TextBody"/>
        <w:bidi w:val="0"/>
        <w:spacing w:before="0" w:after="24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i/>
          <w:color w:val="000000"/>
          <w:sz w:val="24"/>
        </w:rPr>
      </w:pPr>
      <w:r>
        <w:rPr>
          <w:rFonts w:ascii="Times New Roman" w:hAnsi="Times New Roman"/>
          <w:i/>
          <w:color w:val="000000"/>
          <w:sz w:val="24"/>
        </w:rPr>
        <w:t>[Remainder of Page Intentionally Left Blank.]</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the parties hereto have executed this Agreement as of the day and year first above written.</w:t>
      </w:r>
    </w:p>
    <w:p>
      <w:pPr>
        <w:pStyle w:val="TextBody"/>
        <w:bidi w:val="0"/>
        <w:spacing w:before="0" w:after="480"/>
        <w:jc w:val="left"/>
        <w:rPr>
          <w:rFonts w:ascii="Times New Roman" w:hAnsi="Times New Roman"/>
          <w:sz w:val="20"/>
        </w:rPr>
      </w:pPr>
      <w:r>
        <w:rPr>
          <w:rFonts w:ascii="Times New Roman" w:hAnsi="Times New Roman"/>
          <w:b/>
          <w:color w:val="000000"/>
          <w:sz w:val="24"/>
        </w:rPr>
        <w:t>COMPANY:</w:t>
      </w:r>
      <w:r>
        <w:rPr>
          <w:rFonts w:ascii="Times New Roman" w:hAnsi="Times New Roman"/>
          <w:color w:val="000000"/>
          <w:sz w:val="24"/>
        </w:rPr>
        <w:br/>
        <w:br/>
      </w:r>
      <w:r>
        <w:rPr>
          <w:rFonts w:ascii="Times New Roman" w:hAnsi="Times New Roman"/>
          <w:b/>
          <w:color w:val="000000"/>
          <w:sz w:val="24"/>
        </w:rPr>
        <w:t>Vor Biopharma Inc.</w:t>
      </w:r>
    </w:p>
    <w:p>
      <w:pPr>
        <w:pStyle w:val="TextBody"/>
        <w:bidi w:val="0"/>
        <w:spacing w:before="0" w:after="48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Jean-Paul Kress </w:t>
        <w:br/>
      </w:r>
      <w:r>
        <w:rPr>
          <w:rFonts w:ascii="Times New Roman" w:hAnsi="Times New Roman"/>
          <w:color w:val="000000"/>
          <w:sz w:val="24"/>
        </w:rPr>
        <w:t>Name: Jean-Paul Kress</w:t>
        <w:br/>
        <w:t>Title: Chief Executive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the parties hereto have executed this Agreement as of the day and year first above written.</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INVESTOR:</w:t>
      </w:r>
    </w:p>
    <w:p>
      <w:pPr>
        <w:pStyle w:val="TextBody"/>
        <w:bidi w:val="0"/>
        <w:spacing w:before="0" w:after="480"/>
        <w:jc w:val="left"/>
        <w:rPr>
          <w:rFonts w:ascii="Times New Roman" w:hAnsi="Times New Roman"/>
          <w:b/>
          <w:color w:val="000000"/>
          <w:sz w:val="24"/>
        </w:rPr>
      </w:pPr>
      <w:r>
        <w:rPr>
          <w:rFonts w:ascii="Times New Roman" w:hAnsi="Times New Roman"/>
          <w:b/>
          <w:color w:val="000000"/>
          <w:sz w:val="24"/>
        </w:rPr>
        <w:t>TCG CROSSOVER FUND II, L.P.</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By: TCG Crossover GP II, LLC</w:t>
        <w:br/>
        <w:t>Its General Partner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Chen Yu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Name: </w:t>
      </w:r>
      <w:r>
        <w:rPr>
          <w:rFonts w:ascii="Times New Roman" w:hAnsi="Times New Roman"/>
          <w:color w:val="000000"/>
          <w:sz w:val="24"/>
          <w:u w:val="single"/>
        </w:rPr>
        <w:t xml:space="preserve">Chen Yu </w:t>
      </w:r>
    </w:p>
    <w:p>
      <w:pPr>
        <w:pStyle w:val="TextBody"/>
        <w:bidi w:val="0"/>
        <w:spacing w:before="0" w:after="480"/>
        <w:jc w:val="left"/>
        <w:rPr>
          <w:rFonts w:ascii="Times New Roman" w:hAnsi="Times New Roman"/>
          <w:sz w:val="20"/>
        </w:rPr>
      </w:pPr>
      <w:r>
        <w:rPr>
          <w:rFonts w:ascii="Times New Roman" w:hAnsi="Times New Roman"/>
          <w:color w:val="000000"/>
          <w:sz w:val="24"/>
        </w:rPr>
        <w:t>Title:</w:t>
      </w:r>
      <w:r>
        <w:rPr>
          <w:rFonts w:ascii="Times New Roman" w:hAnsi="Times New Roman"/>
          <w:color w:val="000000"/>
          <w:sz w:val="20"/>
          <w:u w:val="single"/>
        </w:rPr>
        <w:t xml:space="preserve"> </w:t>
      </w:r>
      <w:r>
        <w:rPr>
          <w:rFonts w:ascii="Times New Roman" w:hAnsi="Times New Roman"/>
          <w:color w:val="000000"/>
          <w:sz w:val="24"/>
          <w:u w:val="single"/>
        </w:rPr>
        <w:t xml:space="preserve">Managing Member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Address:</w:t>
        <w:br/>
        <w:t>[●]</w:t>
        <w:br/>
        <w:t>Email: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EXHIBIT A</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INVESTORS</w:t>
      </w:r>
    </w:p>
    <w:p>
      <w:pPr>
        <w:pStyle w:val="TextBody"/>
        <w:bidi w:val="0"/>
        <w:jc w:val="left"/>
        <w:rPr/>
      </w:pPr>
      <w:r>
        <w:rPr/>
        <w:t> </w:t>
      </w:r>
    </w:p>
    <w:tbl>
      <w:tblPr>
        <w:tblW w:w="5890" w:type="dxa"/>
        <w:jc w:val="left"/>
        <w:tblInd w:w="0" w:type="dxa"/>
        <w:tblLayout w:type="fixed"/>
        <w:tblCellMar>
          <w:top w:w="28" w:type="dxa"/>
          <w:left w:w="28" w:type="dxa"/>
          <w:bottom w:w="28" w:type="dxa"/>
          <w:right w:w="28" w:type="dxa"/>
        </w:tblCellMar>
      </w:tblPr>
      <w:tblGrid>
        <w:gridCol w:w="2881"/>
        <w:gridCol w:w="146"/>
        <w:gridCol w:w="1066"/>
        <w:gridCol w:w="146"/>
        <w:gridCol w:w="165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81" w:type="dxa"/>
            <w:tcBorders>
              <w:bottom w:val="single" w:sz="4" w:space="0" w:color="000000"/>
            </w:tcBorders>
            <w:tcMar>
              <w:top w:w="0" w:type="dxa"/>
              <w:left w:w="0" w:type="dxa"/>
              <w:right w:w="0" w:type="dxa"/>
            </w:tcMar>
            <w:vAlign w:val="center"/>
          </w:tcPr>
          <w:p>
            <w:pPr>
              <w:pStyle w:val="TableContents"/>
              <w:bidi w:val="0"/>
              <w:spacing w:before="40" w:after="40"/>
              <w:jc w:val="left"/>
              <w:rPr>
                <w:rFonts w:ascii="Times New Roman" w:hAnsi="Times New Roman"/>
                <w:b/>
                <w:color w:val="000000"/>
                <w:sz w:val="20"/>
              </w:rPr>
            </w:pPr>
            <w:r>
              <w:rPr>
                <w:rFonts w:ascii="Times New Roman" w:hAnsi="Times New Roman"/>
                <w:b/>
                <w:color w:val="000000"/>
                <w:sz w:val="20"/>
              </w:rPr>
              <w:t>Investor Name</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651" w:type="dxa"/>
            <w:tcBorders>
              <w:bottom w:val="single" w:sz="4" w:space="0" w:color="000000"/>
            </w:tcBorders>
            <w:tcMar>
              <w:top w:w="0" w:type="dxa"/>
              <w:left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Purchase Price</w:t>
            </w:r>
          </w:p>
        </w:tc>
      </w:tr>
      <w:tr>
        <w:trPr/>
        <w:tc>
          <w:tcPr>
            <w:tcW w:w="2881" w:type="dxa"/>
            <w:tcBorders/>
            <w:shd w:fill="DEEAF6" w:val="clear"/>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TCG CROSSOVER FUND II, L.P.</w:t>
            </w:r>
          </w:p>
        </w:tc>
        <w:tc>
          <w:tcPr>
            <w:tcW w:w="146" w:type="dxa"/>
            <w:tcBorders/>
            <w:shd w:fill="DEEAF6" w:val="clear"/>
            <w:tcMar>
              <w:top w:w="0" w:type="dxa"/>
              <w:left w:w="0" w:type="dxa"/>
              <w:bottom w:w="0" w:type="dxa"/>
              <w:right w:w="0" w:type="dxa"/>
            </w:tcMar>
            <w:vAlign w:val="center"/>
          </w:tcPr>
          <w:p>
            <w:pPr>
              <w:pStyle w:val="TableContents"/>
              <w:bidi w:val="0"/>
              <w:spacing w:before="40" w:after="40"/>
              <w:jc w:val="center"/>
              <w:rPr/>
            </w:pPr>
            <w:r>
              <w:rPr/>
              <w:t> </w:t>
            </w:r>
          </w:p>
        </w:tc>
        <w:tc>
          <w:tcPr>
            <w:tcW w:w="1066" w:type="dxa"/>
            <w:tcBorders/>
            <w:shd w:fill="DEEAF6" w:val="clear"/>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2,669,039</w:t>
            </w:r>
          </w:p>
        </w:tc>
        <w:tc>
          <w:tcPr>
            <w:tcW w:w="146" w:type="dxa"/>
            <w:tcBorders/>
            <w:shd w:fill="DEEAF6" w:val="clear"/>
            <w:tcMar>
              <w:top w:w="0" w:type="dxa"/>
              <w:left w:w="0" w:type="dxa"/>
              <w:bottom w:w="0" w:type="dxa"/>
              <w:right w:w="0" w:type="dxa"/>
            </w:tcMar>
            <w:vAlign w:val="center"/>
          </w:tcPr>
          <w:p>
            <w:pPr>
              <w:pStyle w:val="TableContents"/>
              <w:bidi w:val="0"/>
              <w:spacing w:before="40" w:after="40"/>
              <w:jc w:val="center"/>
              <w:rPr/>
            </w:pPr>
            <w:r>
              <w:rPr/>
              <w:t> </w:t>
            </w:r>
          </w:p>
        </w:tc>
        <w:tc>
          <w:tcPr>
            <w:tcW w:w="1651" w:type="dxa"/>
            <w:tcBorders/>
            <w:shd w:fill="DEEAF6" w:val="clear"/>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$37,499,997.95</w:t>
            </w:r>
          </w:p>
        </w:tc>
      </w:tr>
      <w:tr>
        <w:trPr/>
        <w:tc>
          <w:tcPr>
            <w:tcW w:w="288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TCG CROSSOVER FUND III, L.P.</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066"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2,669,039</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65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$37,499,997.95</w:t>
            </w:r>
          </w:p>
        </w:tc>
      </w:tr>
      <w:tr>
        <w:trPr/>
        <w:tc>
          <w:tcPr>
            <w:tcW w:w="288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b/>
                <w:color w:val="000000"/>
                <w:sz w:val="20"/>
              </w:rPr>
            </w:pPr>
            <w:r>
              <w:rPr>
                <w:rFonts w:ascii="Times New Roman" w:hAnsi="Times New Roman"/>
                <w:b/>
                <w:color w:val="000000"/>
                <w:sz w:val="20"/>
              </w:rPr>
              <w:t>TOTAL:</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066"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b/>
                <w:color w:val="000000"/>
                <w:sz w:val="24"/>
              </w:rPr>
            </w:pPr>
            <w:r>
              <w:rPr>
                <w:rFonts w:ascii="Times New Roman" w:hAnsi="Times New Roman"/>
                <w:b/>
                <w:color w:val="000000"/>
                <w:sz w:val="24"/>
              </w:rPr>
              <w:t>5,338,078</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65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b/>
                <w:color w:val="000000"/>
                <w:sz w:val="24"/>
              </w:rPr>
            </w:pPr>
            <w:r>
              <w:rPr>
                <w:rFonts w:ascii="Times New Roman" w:hAnsi="Times New Roman"/>
                <w:b/>
                <w:color w:val="000000"/>
                <w:sz w:val="24"/>
              </w:rPr>
              <w:t>$74,999,995.90</w:t>
            </w:r>
          </w:p>
        </w:tc>
      </w:tr>
    </w:tbl>
    <w:p>
      <w:pPr>
        <w:pStyle w:val="TextBody"/>
        <w:bidi w:val="0"/>
        <w:spacing w:before="0" w:after="48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A-1</w:t>
      </w:r>
    </w:p>
    <w:p>
      <w:pPr>
        <w:pStyle w:val="TextBody"/>
        <w:bidi w:val="0"/>
        <w:jc w:val="left"/>
        <w:rPr>
          <w:rFonts w:ascii="Times New Roman" w:hAnsi="Times New Roman"/>
          <w:color w:val="000000"/>
          <w:sz w:val="16"/>
        </w:rPr>
      </w:pPr>
      <w:r>
        <w:rPr>
          <w:rFonts w:ascii="Times New Roman" w:hAnsi="Times New Roman"/>
          <w:color w:val="000000"/>
          <w:sz w:val="16"/>
        </w:rPr>
        <w:t>DOCPROPERTY"SWDocID"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EXHIBIT B</w:t>
      </w:r>
    </w:p>
    <w:p>
      <w:pPr>
        <w:pStyle w:val="TextBody"/>
        <w:bidi w:val="0"/>
        <w:spacing w:before="0" w:after="240"/>
        <w:jc w:val="center"/>
        <w:rPr>
          <w:rFonts w:ascii="Times New Roman" w:hAnsi="Times New Roman"/>
          <w:sz w:val="20"/>
        </w:rPr>
      </w:pPr>
      <w:r>
        <w:rPr>
          <w:rFonts w:ascii="Times New Roman" w:hAnsi="Times New Roman"/>
          <w:b/>
          <w:color w:val="000000"/>
          <w:sz w:val="24"/>
        </w:rPr>
        <w:t>FORM OF REGISTRATION RIGHTS AGREEMENT</w:t>
        <w:br/>
      </w:r>
      <w:r>
        <w:rPr>
          <w:rFonts w:ascii="Times New Roman" w:hAnsi="Times New Roman"/>
          <w:color w:val="000000"/>
          <w:sz w:val="20"/>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B-1</w:t>
      </w:r>
    </w:p>
    <w:p>
      <w:pPr>
        <w:pStyle w:val="HorizontalLine"/>
        <w:pBdr>
          <w:bottom w:val="double" w:sz="2" w:space="0" w:color="808080"/>
        </w:pBdr>
        <w:bidi w:val="0"/>
        <w:spacing w:before="0" w:after="283"/>
        <w:jc w:val="left"/>
        <w:rPr/>
      </w:pPr>
      <w:r>
        <w:rPr/>
      </w:r>
    </w:p>
    <w:p>
      <w:pPr>
        <w:pStyle w:val="TextBody"/>
        <w:bidi w:val="0"/>
        <w:jc w:val="right"/>
        <w:rPr/>
      </w:pPr>
      <w:bookmarkStart w:id="20" w:name="vor-ex10_2.htm"/>
      <w:bookmarkStart w:id="21" w:name="ksvorex10_2"/>
      <w:bookmarkEnd w:id="20"/>
      <w:bookmarkEnd w:id="21"/>
      <w:r>
        <w:rPr/>
        <w:t> </w:t>
      </w:r>
      <w:r>
        <w:br w:type="page"/>
      </w:r>
    </w:p>
    <w:p>
      <w:pPr>
        <w:pStyle w:val="TextBody"/>
        <w:bidi w:val="0"/>
        <w:jc w:val="center"/>
        <w:rPr>
          <w:rFonts w:ascii="Times New Roman" w:hAnsi="Times New Roman"/>
          <w:b/>
          <w:color w:val="000000"/>
          <w:sz w:val="22"/>
        </w:rPr>
      </w:pPr>
      <w:r>
        <w:rPr>
          <w:rFonts w:ascii="Times New Roman" w:hAnsi="Times New Roman"/>
          <w:b/>
          <w:color w:val="000000"/>
          <w:sz w:val="22"/>
        </w:rPr>
        <w:t>REGISTRATION RIGHTS AGREEMENT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2"/>
        </w:rPr>
        <w:t>THIS REGISTRATION RIGHTS AGREEMENT</w:t>
      </w:r>
      <w:r>
        <w:rPr>
          <w:rFonts w:ascii="Times New Roman" w:hAnsi="Times New Roman"/>
          <w:color w:val="000000"/>
          <w:sz w:val="20"/>
        </w:rPr>
        <w:t xml:space="preserve"> </w:t>
      </w:r>
      <w:r>
        <w:rPr>
          <w:rFonts w:ascii="Times New Roman" w:hAnsi="Times New Roman"/>
          <w:color w:val="000000"/>
          <w:sz w:val="22"/>
        </w:rPr>
        <w:t>(this “</w:t>
      </w:r>
      <w:r>
        <w:rPr>
          <w:rFonts w:ascii="Times New Roman" w:hAnsi="Times New Roman"/>
          <w:b/>
          <w:color w:val="000000"/>
          <w:sz w:val="22"/>
        </w:rPr>
        <w:t>Agreement</w:t>
      </w:r>
      <w:r>
        <w:rPr>
          <w:rFonts w:ascii="Times New Roman" w:hAnsi="Times New Roman"/>
          <w:color w:val="000000"/>
          <w:sz w:val="20"/>
        </w:rPr>
        <w:t>”</w:t>
      </w:r>
      <w:r>
        <w:rPr>
          <w:rFonts w:ascii="Times New Roman" w:hAnsi="Times New Roman"/>
          <w:color w:val="000000"/>
          <w:sz w:val="22"/>
        </w:rPr>
        <w:t>), dated as of March 26, 2026, is entered into by and among Vor Biopharma Inc., a Delaware corporation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and the several investors signatory hereto (individually as an “</w:t>
      </w:r>
      <w:r>
        <w:rPr>
          <w:rFonts w:ascii="Times New Roman" w:hAnsi="Times New Roman"/>
          <w:b/>
          <w:color w:val="000000"/>
          <w:sz w:val="22"/>
        </w:rPr>
        <w:t>Investor</w:t>
      </w:r>
      <w:r>
        <w:rPr>
          <w:rFonts w:ascii="Times New Roman" w:hAnsi="Times New Roman"/>
          <w:color w:val="000000"/>
          <w:sz w:val="20"/>
        </w:rPr>
        <w:t xml:space="preserve">” </w:t>
      </w:r>
      <w:r>
        <w:rPr>
          <w:rFonts w:ascii="Times New Roman" w:hAnsi="Times New Roman"/>
          <w:color w:val="000000"/>
          <w:sz w:val="22"/>
        </w:rPr>
        <w:t>and collectively together with their respective permitted assigns, the “</w:t>
      </w:r>
      <w:r>
        <w:rPr>
          <w:rFonts w:ascii="Times New Roman" w:hAnsi="Times New Roman"/>
          <w:b/>
          <w:color w:val="000000"/>
          <w:sz w:val="22"/>
        </w:rPr>
        <w:t>Investors</w:t>
      </w:r>
      <w:r>
        <w:rPr>
          <w:rFonts w:ascii="Times New Roman" w:hAnsi="Times New Roman"/>
          <w:color w:val="000000"/>
          <w:sz w:val="20"/>
        </w:rPr>
        <w:t>”</w:t>
      </w:r>
      <w:r>
        <w:rPr>
          <w:rFonts w:ascii="Times New Roman" w:hAnsi="Times New Roman"/>
          <w:color w:val="000000"/>
          <w:sz w:val="22"/>
        </w:rPr>
        <w:t>). Capitalized terms used herein and not otherwise defined herein shall have the respective meanings set forth in the Securities Purchase Agreement by and among the parties hereto, dated as of the date hereof (as amended, restated, supplemented or otherwise modified from time to time, the “</w:t>
      </w:r>
      <w:r>
        <w:rPr>
          <w:rFonts w:ascii="Times New Roman" w:hAnsi="Times New Roman"/>
          <w:b/>
          <w:color w:val="000000"/>
          <w:sz w:val="22"/>
        </w:rPr>
        <w:t>Purchase Agreement</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center"/>
        <w:rPr>
          <w:rFonts w:ascii="Times New Roman" w:hAnsi="Times New Roman"/>
          <w:b/>
          <w:color w:val="000000"/>
          <w:sz w:val="22"/>
        </w:rPr>
      </w:pPr>
      <w:r>
        <w:rPr>
          <w:rFonts w:ascii="Times New Roman" w:hAnsi="Times New Roman"/>
          <w:b/>
          <w:color w:val="000000"/>
          <w:sz w:val="22"/>
        </w:rPr>
        <w:t>WHEREAS: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pPr>
      <w:r>
        <w:rPr>
          <w:rFonts w:ascii="Times New Roman" w:hAnsi="Times New Roman"/>
          <w:color w:val="000000"/>
          <w:sz w:val="22"/>
        </w:rPr>
        <w:t>Upon the terms and subject to the conditions of the Purchase Agreement, the Company has agreed to issue to the Investors, and the Investors have agreed to purchase, severally and not jointly, an aggregate of 5,338,078 shares (the “</w:t>
      </w:r>
      <w:r>
        <w:rPr>
          <w:rFonts w:ascii="Times New Roman" w:hAnsi="Times New Roman"/>
          <w:b/>
          <w:color w:val="000000"/>
          <w:sz w:val="22"/>
        </w:rPr>
        <w:t>Shares</w:t>
      </w:r>
      <w:r>
        <w:rPr>
          <w:color w:val="000000"/>
        </w:rPr>
        <w:t>”</w:t>
      </w:r>
      <w:r>
        <w:rPr>
          <w:rFonts w:ascii="Times New Roman" w:hAnsi="Times New Roman"/>
          <w:color w:val="000000"/>
          <w:sz w:val="22"/>
        </w:rPr>
        <w:t>) of the Company’s common stock, par value $0.0001 per share (the “</w:t>
      </w:r>
      <w:r>
        <w:rPr>
          <w:rFonts w:ascii="Times New Roman" w:hAnsi="Times New Roman"/>
          <w:b/>
          <w:color w:val="000000"/>
          <w:sz w:val="22"/>
        </w:rPr>
        <w:t>Common Stock</w:t>
      </w:r>
      <w:r>
        <w:rPr>
          <w:color w:val="000000"/>
        </w:rPr>
        <w:t>”</w:t>
      </w:r>
      <w:r>
        <w:rPr>
          <w:rFonts w:ascii="Times New Roman" w:hAnsi="Times New Roman"/>
          <w:color w:val="000000"/>
          <w:sz w:val="22"/>
        </w:rPr>
        <w:t>), pursuant to the Purchase Agreement.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pPr>
      <w:r>
        <w:rPr>
          <w:rFonts w:ascii="Times New Roman" w:hAnsi="Times New Roman"/>
          <w:color w:val="000000"/>
          <w:sz w:val="22"/>
        </w:rPr>
        <w:t>To induce the Investors to enter into the Purchase Agreement, the Company has agreed to provide certain registration rights under the U.S. Securities Act of 1933, as amended, and the rules and regulations thereunder, or any similar successor statute (collectively, the “</w:t>
      </w:r>
      <w:r>
        <w:rPr>
          <w:rFonts w:ascii="Times New Roman" w:hAnsi="Times New Roman"/>
          <w:b/>
          <w:color w:val="000000"/>
          <w:sz w:val="22"/>
        </w:rPr>
        <w:t>Securities Act</w:t>
      </w:r>
      <w:r>
        <w:rPr>
          <w:color w:val="000000"/>
        </w:rPr>
        <w:t>”</w:t>
      </w:r>
      <w:r>
        <w:rPr>
          <w:rFonts w:ascii="Times New Roman" w:hAnsi="Times New Roman"/>
          <w:color w:val="000000"/>
          <w:sz w:val="22"/>
        </w:rPr>
        <w:t>), and applicable state securities laws.</w:t>
      </w:r>
    </w:p>
    <w:p>
      <w:pPr>
        <w:pStyle w:val="TextBody"/>
        <w:bidi w:val="0"/>
        <w:jc w:val="both"/>
        <w:rPr/>
      </w:pPr>
      <w:r>
        <w:rPr/>
        <w:t> </w:t>
      </w:r>
    </w:p>
    <w:p>
      <w:pPr>
        <w:pStyle w:val="TextBody"/>
        <w:bidi w:val="0"/>
        <w:jc w:val="both"/>
        <w:rPr>
          <w:rFonts w:ascii="Times New Roman" w:hAnsi="Times New Roman"/>
          <w:sz w:val="20"/>
        </w:rPr>
      </w:pPr>
      <w:bookmarkStart w:id="22" w:name="lastspot"/>
      <w:bookmarkEnd w:id="22"/>
      <w:r>
        <w:rPr>
          <w:rFonts w:ascii="Times New Roman" w:hAnsi="Times New Roman"/>
          <w:b/>
          <w:color w:val="000000"/>
          <w:sz w:val="22"/>
        </w:rPr>
        <w:t>NOW, THEREFORE,</w:t>
      </w:r>
      <w:r>
        <w:rPr>
          <w:rFonts w:ascii="Times New Roman" w:hAnsi="Times New Roman"/>
          <w:color w:val="000000"/>
          <w:sz w:val="20"/>
        </w:rPr>
        <w:t xml:space="preserve"> </w:t>
      </w:r>
      <w:r>
        <w:rPr>
          <w:rFonts w:ascii="Times New Roman" w:hAnsi="Times New Roman"/>
          <w:color w:val="000000"/>
          <w:sz w:val="22"/>
        </w:rPr>
        <w:t>in consideration of the promises and the mutual covenants contained herein and other good and valuable consideration, the receipt and sufficiency of which are hereby acknowledged, the Company and the Investors hereby agree as follows:</w:t>
      </w:r>
    </w:p>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w:t>
      </w:r>
    </w:p>
    <w:p>
      <w:pPr>
        <w:pStyle w:val="TextBody"/>
        <w:bidi w:val="0"/>
        <w:jc w:val="left"/>
        <w:rPr>
          <w:rFonts w:ascii="Times New Roman" w:hAnsi="Times New Roman"/>
          <w:b/>
          <w:color w:val="000000"/>
          <w:sz w:val="22"/>
        </w:rPr>
      </w:pPr>
      <w:r>
        <w:rPr>
          <w:rFonts w:ascii="Times New Roman" w:hAnsi="Times New Roman"/>
          <w:b/>
          <w:color w:val="000000"/>
          <w:sz w:val="22"/>
        </w:rPr>
        <w:t>DEFINITIONS.</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For purposes of this Agreement, the following terms shall have the following meanings: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0"/>
        <w:jc w:val="both"/>
        <w:rPr/>
      </w:pPr>
      <w:r>
        <w:rPr>
          <w:color w:val="000000"/>
        </w:rPr>
        <w:t>“</w:t>
      </w:r>
      <w:r>
        <w:rPr>
          <w:rFonts w:ascii="Times New Roman" w:hAnsi="Times New Roman"/>
          <w:b/>
          <w:color w:val="000000"/>
          <w:sz w:val="22"/>
        </w:rPr>
        <w:t>Person</w:t>
      </w:r>
      <w:r>
        <w:rPr>
          <w:color w:val="000000"/>
        </w:rPr>
        <w:t xml:space="preserve">” </w:t>
      </w:r>
      <w:r>
        <w:rPr>
          <w:rFonts w:ascii="Times New Roman" w:hAnsi="Times New Roman"/>
          <w:color w:val="000000"/>
          <w:sz w:val="22"/>
        </w:rPr>
        <w:t xml:space="preserve">means an individual, partnership, corporation, limited liability company, business trust, joint stock company, trust, unincorporated association, joint venture or any other entity or organization.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pPr>
      <w:r>
        <w:rPr>
          <w:color w:val="000000"/>
        </w:rPr>
        <w:t>“</w:t>
      </w:r>
      <w:r>
        <w:rPr>
          <w:rFonts w:ascii="Times New Roman" w:hAnsi="Times New Roman"/>
          <w:b/>
          <w:color w:val="000000"/>
          <w:sz w:val="22"/>
        </w:rPr>
        <w:t>Prospectus</w:t>
      </w:r>
      <w:r>
        <w:rPr>
          <w:color w:val="000000"/>
        </w:rPr>
        <w:t xml:space="preserve">” </w:t>
      </w:r>
      <w:r>
        <w:rPr>
          <w:rFonts w:ascii="Times New Roman" w:hAnsi="Times New Roman"/>
          <w:color w:val="000000"/>
          <w:sz w:val="22"/>
        </w:rPr>
        <w:t>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Securities Act, relating to the terms of the offering of any portion of the Registrable Securities.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pPr>
      <w:r>
        <w:rPr>
          <w:color w:val="000000"/>
        </w:rPr>
        <w:t>“</w:t>
      </w:r>
      <w:r>
        <w:rPr>
          <w:rFonts w:ascii="Times New Roman" w:hAnsi="Times New Roman"/>
          <w:b/>
          <w:color w:val="000000"/>
          <w:sz w:val="22"/>
        </w:rPr>
        <w:t>Register</w:t>
      </w:r>
      <w:r>
        <w:rPr>
          <w:rFonts w:ascii="Times New Roman" w:hAnsi="Times New Roman"/>
          <w:color w:val="000000"/>
          <w:sz w:val="22"/>
        </w:rPr>
        <w:t>,” “</w:t>
      </w:r>
      <w:r>
        <w:rPr>
          <w:rFonts w:ascii="Times New Roman" w:hAnsi="Times New Roman"/>
          <w:b/>
          <w:color w:val="000000"/>
          <w:sz w:val="22"/>
        </w:rPr>
        <w:t>Registered</w:t>
      </w:r>
      <w:r>
        <w:rPr>
          <w:rFonts w:ascii="Times New Roman" w:hAnsi="Times New Roman"/>
          <w:color w:val="000000"/>
          <w:sz w:val="22"/>
        </w:rPr>
        <w:t>,” and “</w:t>
      </w:r>
      <w:r>
        <w:rPr>
          <w:rFonts w:ascii="Times New Roman" w:hAnsi="Times New Roman"/>
          <w:b/>
          <w:color w:val="000000"/>
          <w:sz w:val="22"/>
        </w:rPr>
        <w:t>Registration</w:t>
      </w:r>
      <w:r>
        <w:rPr>
          <w:color w:val="000000"/>
        </w:rPr>
        <w:t xml:space="preserve">” </w:t>
      </w:r>
      <w:r>
        <w:rPr>
          <w:rFonts w:ascii="Times New Roman" w:hAnsi="Times New Roman"/>
          <w:color w:val="000000"/>
          <w:sz w:val="22"/>
        </w:rPr>
        <w:t>refer to a registration effected by preparing and filing one or more registration statements of the Company in compliance with the Securities Act and providing for offering securities on a continuous basis, and the declaration or ordering of effectiveness of such registration statement(s) by the U.S. Securities and Exchange Commission (the “</w:t>
      </w:r>
      <w:r>
        <w:rPr>
          <w:rFonts w:ascii="Times New Roman" w:hAnsi="Times New Roman"/>
          <w:b/>
          <w:color w:val="000000"/>
          <w:sz w:val="22"/>
        </w:rPr>
        <w:t>SEC</w:t>
      </w:r>
      <w:r>
        <w:rPr>
          <w:color w:val="000000"/>
        </w:rPr>
        <w:t>”</w:t>
      </w:r>
      <w:r>
        <w:rPr>
          <w:rFonts w:ascii="Times New Roman" w:hAnsi="Times New Roman"/>
          <w:color w:val="000000"/>
          <w:sz w:val="22"/>
        </w:rPr>
        <w: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w:t>
      </w:r>
    </w:p>
    <w:p>
      <w:pPr>
        <w:pStyle w:val="TextBody"/>
        <w:bidi w:val="0"/>
        <w:jc w:val="both"/>
        <w:rPr/>
      </w:pPr>
      <w:r>
        <w:rPr>
          <w:color w:val="000000"/>
        </w:rPr>
        <w:t>“</w:t>
      </w:r>
      <w:r>
        <w:rPr>
          <w:rFonts w:ascii="Times New Roman" w:hAnsi="Times New Roman"/>
          <w:b/>
          <w:color w:val="000000"/>
          <w:sz w:val="22"/>
        </w:rPr>
        <w:t>Registrable Securities</w:t>
      </w:r>
      <w:r>
        <w:rPr>
          <w:color w:val="000000"/>
        </w:rPr>
        <w:t xml:space="preserve">” </w:t>
      </w:r>
      <w:r>
        <w:rPr>
          <w:rFonts w:ascii="Times New Roman" w:hAnsi="Times New Roman"/>
          <w:color w:val="000000"/>
          <w:sz w:val="22"/>
        </w:rPr>
        <w:t xml:space="preserve">means the Shares and any Common Stock issued or issuable with respect to the Shares as a result of any stock split or subdivision, stock dividend, recapitalization, exchange or similar event. Registrable Securities shall cease to be Registrable Securities upon the date on which the Investors shall have resold all the Registrable Securities covered by the Registration Statement.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(e)</w:t>
      </w:r>
    </w:p>
    <w:p>
      <w:pPr>
        <w:pStyle w:val="TextBody"/>
        <w:bidi w:val="0"/>
        <w:jc w:val="both"/>
        <w:rPr/>
      </w:pPr>
      <w:r>
        <w:rPr>
          <w:color w:val="000000"/>
        </w:rPr>
        <w:t>“</w:t>
      </w:r>
      <w:r>
        <w:rPr>
          <w:rFonts w:ascii="Times New Roman" w:hAnsi="Times New Roman"/>
          <w:b/>
          <w:color w:val="000000"/>
          <w:sz w:val="22"/>
        </w:rPr>
        <w:t>Registration Expenses</w:t>
      </w:r>
      <w:r>
        <w:rPr>
          <w:color w:val="000000"/>
        </w:rPr>
        <w:t xml:space="preserve">” </w:t>
      </w:r>
      <w:r>
        <w:rPr>
          <w:rFonts w:ascii="Times New Roman" w:hAnsi="Times New Roman"/>
          <w:color w:val="000000"/>
          <w:sz w:val="22"/>
        </w:rPr>
        <w:t xml:space="preserve">means all registration and filing fee expenses incurred by the Company in effecting any registration pursuant to this Agreement, including (i) all registration, qualification, and filing fees, printing expenses, and any other fees and expenses associated with filings required to be made with the SEC, FINRA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(including the expenses of any special audit and cold comfort letters required by or incident to such performance).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(f)</w:t>
      </w:r>
    </w:p>
    <w:p>
      <w:pPr>
        <w:pStyle w:val="TextBody"/>
        <w:bidi w:val="0"/>
        <w:jc w:val="both"/>
        <w:rPr/>
      </w:pPr>
      <w:r>
        <w:rPr>
          <w:color w:val="000000"/>
        </w:rPr>
        <w:t>“</w:t>
      </w:r>
      <w:r>
        <w:rPr>
          <w:rFonts w:ascii="Times New Roman" w:hAnsi="Times New Roman"/>
          <w:b/>
          <w:color w:val="000000"/>
          <w:sz w:val="22"/>
        </w:rPr>
        <w:t>Registration Statement</w:t>
      </w:r>
      <w:r>
        <w:rPr>
          <w:color w:val="000000"/>
        </w:rPr>
        <w:t xml:space="preserve">” </w:t>
      </w:r>
      <w:r>
        <w:rPr>
          <w:rFonts w:ascii="Times New Roman" w:hAnsi="Times New Roman"/>
          <w:color w:val="000000"/>
          <w:sz w:val="22"/>
        </w:rPr>
        <w:t>means any registration statement of the Company filed with, or to be filed with, the SEC under the Securities Act, that Registers Registrable Securities, including the related Prospectus, amendments and supplements to such registration statement, including pre- and post-effective amendments, and all exhibits and all material incorporated by reference in such registration statement as may be necessary to comply with applicable securities laws. “Registration Statement” shall also include a New Registration Statement (as defined below), as amended when each became effective, including all documents filed as part thereof or incorporated by reference therein, and including any information contained in a Prospectus subsequently filed with the SEC.</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(g)</w:t>
      </w:r>
    </w:p>
    <w:p>
      <w:pPr>
        <w:pStyle w:val="TextBody"/>
        <w:bidi w:val="0"/>
        <w:jc w:val="both"/>
        <w:rPr/>
      </w:pPr>
      <w:r>
        <w:rPr>
          <w:color w:val="000000"/>
        </w:rPr>
        <w:t>“</w:t>
      </w:r>
      <w:r>
        <w:rPr>
          <w:rFonts w:ascii="Times New Roman" w:hAnsi="Times New Roman"/>
          <w:b/>
          <w:color w:val="000000"/>
          <w:sz w:val="22"/>
        </w:rPr>
        <w:t>Selling Expenses</w:t>
      </w:r>
      <w:r>
        <w:rPr>
          <w:color w:val="000000"/>
        </w:rPr>
        <w:t xml:space="preserve">” </w:t>
      </w:r>
      <w:r>
        <w:rPr>
          <w:rFonts w:ascii="Times New Roman" w:hAnsi="Times New Roman"/>
          <w:color w:val="000000"/>
          <w:sz w:val="22"/>
        </w:rPr>
        <w:t>means all underwriting discounts and selling commissions applicable to the sale of Registrable Securities and all similar fees and commissions relating to the Investors’ disposition of the Registrable Securities.</w:t>
      </w:r>
    </w:p>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w:t>
      </w:r>
    </w:p>
    <w:p>
      <w:pPr>
        <w:pStyle w:val="TextBody"/>
        <w:bidi w:val="0"/>
        <w:jc w:val="left"/>
        <w:rPr>
          <w:rFonts w:ascii="Times New Roman" w:hAnsi="Times New Roman"/>
          <w:b/>
          <w:color w:val="000000"/>
          <w:sz w:val="22"/>
        </w:rPr>
      </w:pPr>
      <w:r>
        <w:rPr>
          <w:rFonts w:ascii="Times New Roman" w:hAnsi="Times New Roman"/>
          <w:b/>
          <w:color w:val="000000"/>
          <w:sz w:val="22"/>
        </w:rPr>
        <w:t>REGISTRATION.</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pPr>
      <w:r>
        <w:rPr>
          <w:rFonts w:ascii="Times New Roman" w:hAnsi="Times New Roman"/>
          <w:color w:val="000000"/>
          <w:sz w:val="22"/>
          <w:u w:val="single"/>
        </w:rPr>
        <w:t>Mandatory Registration</w:t>
      </w:r>
      <w:r>
        <w:rPr>
          <w:rFonts w:ascii="Times New Roman" w:hAnsi="Times New Roman"/>
          <w:color w:val="000000"/>
          <w:sz w:val="22"/>
        </w:rPr>
        <w:t>. The Company shall, as promptly as reasonably practicable and in any event no later than thirty (30) days after the Closing Date (the “</w:t>
      </w:r>
      <w:r>
        <w:rPr>
          <w:rFonts w:ascii="Times New Roman" w:hAnsi="Times New Roman"/>
          <w:b/>
          <w:color w:val="000000"/>
          <w:sz w:val="22"/>
        </w:rPr>
        <w:t>Filing Deadline</w:t>
      </w:r>
      <w:r>
        <w:rPr>
          <w:color w:val="000000"/>
        </w:rPr>
        <w:t>”</w:t>
      </w:r>
      <w:r>
        <w:rPr>
          <w:rFonts w:ascii="Times New Roman" w:hAnsi="Times New Roman"/>
          <w:color w:val="000000"/>
          <w:sz w:val="22"/>
        </w:rPr>
        <w:t>), prepare and file with the SEC an initial Registration Statement (the “</w:t>
      </w:r>
      <w:r>
        <w:rPr>
          <w:rFonts w:ascii="Times New Roman" w:hAnsi="Times New Roman"/>
          <w:b/>
          <w:color w:val="000000"/>
          <w:sz w:val="22"/>
        </w:rPr>
        <w:t>Initial Registration Statement</w:t>
      </w:r>
      <w:r>
        <w:rPr>
          <w:color w:val="000000"/>
        </w:rPr>
        <w:t>”</w:t>
      </w:r>
      <w:r>
        <w:rPr>
          <w:rFonts w:ascii="Times New Roman" w:hAnsi="Times New Roman"/>
          <w:color w:val="000000"/>
          <w:sz w:val="22"/>
        </w:rPr>
        <w:t xml:space="preserve">) covering the resale of all Registrable Securities. Before filing the Registration Statement, the Company shall furnish to the Investors a copy of the Registration Statement. The Investors and their counsel shall have at least three Business Days prior to the anticipated filing date of a Registration Statement to review and comment upon such Registration Statement and any amendment or supplement to such Registration Statement and any related Prospectus, prior to its filing with the SEC. Subject to any SEC comments, such Registration Statement shall include the plan of distribution substantially in the form attached hereto as </w:t>
      </w:r>
      <w:r>
        <w:rPr>
          <w:rFonts w:ascii="Times New Roman" w:hAnsi="Times New Roman"/>
          <w:color w:val="000000"/>
          <w:sz w:val="22"/>
          <w:u w:val="single"/>
        </w:rPr>
        <w:t>Exhibit A</w:t>
      </w:r>
      <w:r>
        <w:rPr>
          <w:rFonts w:ascii="Times New Roman" w:hAnsi="Times New Roman"/>
          <w:color w:val="000000"/>
          <w:sz w:val="22"/>
        </w:rPr>
        <w:t xml:space="preserve">. The Company shall (a) use commercially reasonable efforts to address in each such document prior to being so filed with the SEC such comments as the Investor or its counsel reasonably proposed by the Investor, and (b) not file any Registration Statement or Prospectus or any amendment or supplement thereto containing information regarding the Investor to which Investor reasonably objects, unless such information is required to comply with any applicable law or regulation. The Investors shall furnish all information reasonably requested by the Company and as shall be reasonably required in connection with any registration referred to in this Agreement.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pPr>
      <w:r>
        <w:rPr>
          <w:rFonts w:ascii="Times New Roman" w:hAnsi="Times New Roman"/>
          <w:color w:val="000000"/>
          <w:sz w:val="22"/>
          <w:u w:val="single"/>
        </w:rPr>
        <w:t>Effectiveness.</w:t>
      </w:r>
      <w:r>
        <w:rPr>
          <w:color w:val="000000"/>
        </w:rPr>
        <w:t xml:space="preserve"> </w:t>
      </w:r>
      <w:r>
        <w:rPr>
          <w:rFonts w:ascii="Times New Roman" w:hAnsi="Times New Roman"/>
          <w:color w:val="000000"/>
          <w:sz w:val="22"/>
        </w:rPr>
        <w:t>The Company shall use its reasonable best efforts to have the Initial Registration Statement and any amendment declared effective by the SEC at the earliest possible date but no later than the 60th calendar day following the Closing Date (the “</w:t>
      </w:r>
      <w:r>
        <w:rPr>
          <w:rFonts w:ascii="Times New Roman" w:hAnsi="Times New Roman"/>
          <w:b/>
          <w:color w:val="000000"/>
          <w:sz w:val="22"/>
        </w:rPr>
        <w:t>Effectiveness Deadline</w:t>
      </w:r>
      <w:r>
        <w:rPr>
          <w:color w:val="000000"/>
        </w:rPr>
        <w:t>”</w:t>
      </w:r>
      <w:r>
        <w:rPr>
          <w:rFonts w:ascii="Times New Roman" w:hAnsi="Times New Roman"/>
          <w:color w:val="000000"/>
          <w:sz w:val="22"/>
        </w:rPr>
        <w:t>); p</w:t>
      </w:r>
      <w:r>
        <w:rPr>
          <w:rFonts w:ascii="Times New Roman" w:hAnsi="Times New Roman"/>
          <w:color w:val="000000"/>
          <w:sz w:val="22"/>
          <w:u w:val="single"/>
        </w:rPr>
        <w:t>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that if the SEC is closed for operations due to a government shutdown or lapse in appropriations, the deadline shall be extended by the same amount of days that the SEC remains closed for operations. The Company shall notify the Investor by e-mail as promptly as practicable, and in any event, within 24 hours, after the Registration Statement is declared effective or is supplemented and shall provide the Investor with copies of any Prospectus to be used in connection with the sale or other disposition of the securities covered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rFonts w:ascii="Times New Roman" w:hAnsi="Times New Roman"/>
          <w:color w:val="000000"/>
          <w:sz w:val="22"/>
        </w:rPr>
        <w:t>thereby. The Company shall use reasonable best efforts to keep the Initial Registration Statement continuously effective pursuant to Rule 415 promulgated under the Securities Act and available for the resale by the Investors of all of the Registrable Securities covered thereby at all times until the earliest to occur of the following events: (i) the date on which the Investors shall have resold all the Registrable Securities covered thereby; and (ii) the date on which the Registrable Securities may be resold by the Investors without registration and without regard to any volume or manner-of-sale limitations by reason of Rule 144, without the requirement for the Company to be in compliance with the current public information requirement under Rule 144 under the Securities Act or any other rule of similar effect (the “</w:t>
      </w:r>
      <w:r>
        <w:rPr>
          <w:rFonts w:ascii="Times New Roman" w:hAnsi="Times New Roman"/>
          <w:b/>
          <w:color w:val="000000"/>
          <w:sz w:val="22"/>
        </w:rPr>
        <w:t>Registration Period</w:t>
      </w:r>
      <w:r>
        <w:rPr>
          <w:color w:val="000000"/>
        </w:rPr>
        <w:t>”</w:t>
      </w:r>
      <w:r>
        <w:rPr>
          <w:rFonts w:ascii="Times New Roman" w:hAnsi="Times New Roman"/>
          <w:color w:val="000000"/>
          <w:sz w:val="22"/>
        </w:rPr>
        <w:t>). The Initial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pPr>
      <w:r>
        <w:rPr>
          <w:rFonts w:ascii="Times New Roman" w:hAnsi="Times New Roman"/>
          <w:color w:val="000000"/>
          <w:sz w:val="22"/>
          <w:u w:val="single"/>
        </w:rPr>
        <w:t>Sufficient Number of Shares Registered</w:t>
      </w:r>
      <w:r>
        <w:rPr>
          <w:rFonts w:ascii="Times New Roman" w:hAnsi="Times New Roman"/>
          <w:color w:val="000000"/>
          <w:sz w:val="22"/>
        </w:rPr>
        <w:t>. In the event the number of shares available under the Initial Registration Statement at any time is insufficient to cover the Registrable Securities, the Company shall, to the extent necessary and permissible, amend the Initial Registration Statement or file a new registration statement (together with any prospectuses or prospectus supplements thereunder, a “</w:t>
      </w:r>
      <w:r>
        <w:rPr>
          <w:rFonts w:ascii="Times New Roman" w:hAnsi="Times New Roman"/>
          <w:b/>
          <w:color w:val="000000"/>
          <w:sz w:val="22"/>
        </w:rPr>
        <w:t>New Registration Statement</w:t>
      </w:r>
      <w:r>
        <w:rPr>
          <w:color w:val="000000"/>
        </w:rPr>
        <w:t>”</w:t>
      </w:r>
      <w:r>
        <w:rPr>
          <w:rFonts w:ascii="Times New Roman" w:hAnsi="Times New Roman"/>
          <w:color w:val="000000"/>
          <w:sz w:val="22"/>
        </w:rPr>
        <w:t>), so as to cover all of such Registrable Securities as soon as reasonably practicable, but in any event not later than ten Business Days after the necessity therefor arises (the “</w:t>
      </w:r>
      <w:r>
        <w:rPr>
          <w:rFonts w:ascii="Times New Roman" w:hAnsi="Times New Roman"/>
          <w:b/>
          <w:color w:val="000000"/>
          <w:sz w:val="22"/>
        </w:rPr>
        <w:t>New Registration Filing Deadline</w:t>
      </w:r>
      <w:r>
        <w:rPr>
          <w:color w:val="000000"/>
        </w:rPr>
        <w:t>”</w:t>
      </w:r>
      <w:r>
        <w:rPr>
          <w:rFonts w:ascii="Times New Roman" w:hAnsi="Times New Roman"/>
          <w:color w:val="000000"/>
          <w:sz w:val="22"/>
        </w:rPr>
        <w:t>). The Company shall use its reasonable best efforts to have such amendment and/or New Registration Statement become effective as soon as reasonably practicable following the filing thereof but no later than the earlier of (a) the 75th calendar day following the initial filing date of the New Registration Statement if the SEC notifies the Company that it will “review” the New Registration Statement and (b) the fifth Business Day after the date the Company is notified (orally or in writing, whichever is earlier) by the SEC that the New Registration Statement will not be “reviewed” or will not be subject to further review (the earlier of such dates, the “</w:t>
      </w:r>
      <w:r>
        <w:rPr>
          <w:rFonts w:ascii="Times New Roman" w:hAnsi="Times New Roman"/>
          <w:b/>
          <w:color w:val="000000"/>
          <w:sz w:val="22"/>
        </w:rPr>
        <w:t>New Registration Effectiveness Deadline</w:t>
      </w:r>
      <w:r>
        <w:rPr>
          <w:color w:val="000000"/>
        </w:rPr>
        <w:t>”</w:t>
      </w:r>
      <w:r>
        <w:rPr>
          <w:rFonts w:ascii="Times New Roman" w:hAnsi="Times New Roman"/>
          <w:color w:val="000000"/>
          <w:sz w:val="22"/>
        </w:rPr>
        <w:t xml:space="preserve">). The provisions of </w:t>
      </w:r>
      <w:r>
        <w:rPr>
          <w:rFonts w:ascii="Times New Roman" w:hAnsi="Times New Roman"/>
          <w:color w:val="000000"/>
          <w:sz w:val="22"/>
          <w:u w:val="single"/>
        </w:rPr>
        <w:t>Section 2(a)</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color w:val="000000"/>
        </w:rPr>
        <w:t xml:space="preserve"> </w:t>
      </w:r>
      <w:r>
        <w:rPr>
          <w:rFonts w:ascii="Times New Roman" w:hAnsi="Times New Roman"/>
          <w:color w:val="000000"/>
          <w:sz w:val="22"/>
        </w:rPr>
        <w:t xml:space="preserve">shall apply to the New Registration Statement, except as modified hereby.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w:t>
      </w:r>
    </w:p>
    <w:p>
      <w:pPr>
        <w:pStyle w:val="TextBody"/>
        <w:bidi w:val="0"/>
        <w:jc w:val="both"/>
        <w:rPr/>
      </w:pPr>
      <w:r>
        <w:rPr>
          <w:rFonts w:ascii="Times New Roman" w:hAnsi="Times New Roman"/>
          <w:color w:val="000000"/>
          <w:sz w:val="22"/>
          <w:u w:val="single"/>
        </w:rPr>
        <w:t>Liquidated Damages</w:t>
      </w:r>
      <w:r>
        <w:rPr>
          <w:rFonts w:ascii="Times New Roman" w:hAnsi="Times New Roman"/>
          <w:color w:val="000000"/>
          <w:sz w:val="22"/>
        </w:rPr>
        <w:t>. If (i) the Initial Registration Statement has not been filed by the Filing Deadline, (ii) the Initial Registration Statement has not been declared effective by the Effectiveness Deadline, (iii) the New Registration Statement has not been filed by the New Registration Filing Deadline, (iv) the New Registration Statement has not been declared effective by the New Registration Effectiveness Deadline or (v) after any Registration Statement has been declared effective by the SEC, sales cannot be made pursuant to such Registration Statement for any reason (including without limitation by reason of a stop order, or the Company’s failure to update such Registration Statement), but excluding any Allowed Delay (as defined below) or, if the Registration Statement is on Form S-1, for a period of 20 days following the date on which the Company files a post-effective amendment to incorporate the Company’s Annual Report on Form 10-K (a “</w:t>
      </w:r>
      <w:r>
        <w:rPr>
          <w:rFonts w:ascii="Times New Roman" w:hAnsi="Times New Roman"/>
          <w:b/>
          <w:color w:val="000000"/>
          <w:sz w:val="22"/>
        </w:rPr>
        <w:t>Maintenance Failure</w:t>
      </w:r>
      <w:r>
        <w:rPr>
          <w:color w:val="000000"/>
        </w:rPr>
        <w:t>”</w:t>
      </w:r>
      <w:r>
        <w:rPr>
          <w:rFonts w:ascii="Times New Roman" w:hAnsi="Times New Roman"/>
          <w:color w:val="000000"/>
          <w:sz w:val="22"/>
        </w:rPr>
        <w:t>), then the Company will make pro rata payments to each Investor then holding Registrable Securities, as liquidated damages and not as a penalty, in an amount equal to 1.0% of the aggregate amount paid pursuant to the Purchase Agreement by such Investor for such Registrable Securities then held by such Investor for each 30-day period or pro rata for any portion thereof during which the failure continues (the “</w:t>
      </w:r>
      <w:r>
        <w:rPr>
          <w:rFonts w:ascii="Times New Roman" w:hAnsi="Times New Roman"/>
          <w:b/>
          <w:color w:val="000000"/>
          <w:sz w:val="22"/>
        </w:rPr>
        <w:t>Blackout Period</w:t>
      </w:r>
      <w:r>
        <w:rPr>
          <w:color w:val="000000"/>
        </w:rPr>
        <w:t>”</w:t>
      </w:r>
      <w:r>
        <w:rPr>
          <w:rFonts w:ascii="Times New Roman" w:hAnsi="Times New Roman"/>
          <w:color w:val="000000"/>
          <w:sz w:val="22"/>
        </w:rPr>
        <w:t>). Such payments shall constitute the Investors’ exclusive monetary remedy for such events, but shall not affect the right of the Investors to seek injunctive relief. The amounts payable as liquidated damages pursuant to this paragraph shall be paid in cash no later than five Business Days after each such 30-day period following the commencement of the Blackout Period until the termination of the Blackout Period (the “</w:t>
      </w:r>
      <w:r>
        <w:rPr>
          <w:rFonts w:ascii="Times New Roman" w:hAnsi="Times New Roman"/>
          <w:b/>
          <w:color w:val="000000"/>
          <w:sz w:val="22"/>
        </w:rPr>
        <w:t>Blackout Period Payment Date</w:t>
      </w:r>
      <w:r>
        <w:rPr>
          <w:color w:val="000000"/>
        </w:rPr>
        <w:t>”</w:t>
      </w:r>
      <w:r>
        <w:rPr>
          <w:rFonts w:ascii="Times New Roman" w:hAnsi="Times New Roman"/>
          <w:color w:val="000000"/>
          <w:sz w:val="22"/>
        </w:rPr>
        <w:t xml:space="preserve">). Interest shall accrue at the rate of 1.0% per month on any such liquidated damages payments that shall not be paid by the Blackout Period Payment Date until such amount is paid in full. Notwithstanding the above, in no event shall the aggregate amount of liquidated damages (or interest thereon) paid under this Agreement to any Investor exceed, in the aggregate, 5.0% of the aggregate purchase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rFonts w:ascii="Times New Roman" w:hAnsi="Times New Roman"/>
          <w:color w:val="000000"/>
          <w:sz w:val="22"/>
        </w:rPr>
        <w:t xml:space="preserve">price of the Shares purchased by such Investor under the Purchase Agreement. Notwithstanding anything in this </w:t>
      </w:r>
      <w:r>
        <w:rPr>
          <w:rFonts w:ascii="Times New Roman" w:hAnsi="Times New Roman"/>
          <w:color w:val="000000"/>
          <w:sz w:val="22"/>
          <w:u w:val="single"/>
        </w:rPr>
        <w:t>Section 2(d)</w:t>
      </w:r>
      <w:r>
        <w:rPr>
          <w:color w:val="000000"/>
        </w:rPr>
        <w:t xml:space="preserve"> </w:t>
      </w:r>
      <w:r>
        <w:rPr>
          <w:rFonts w:ascii="Times New Roman" w:hAnsi="Times New Roman"/>
          <w:color w:val="000000"/>
          <w:sz w:val="22"/>
        </w:rPr>
        <w:t xml:space="preserve">to the contrary, during any periods that the Company is unable to meet its obligations hereunder with respect to the registration of the Registrable Securities because any Investor fails to furnish information required to be provided pursuant to </w:t>
      </w:r>
      <w:r>
        <w:rPr>
          <w:rFonts w:ascii="Times New Roman" w:hAnsi="Times New Roman"/>
          <w:color w:val="000000"/>
          <w:sz w:val="22"/>
          <w:u w:val="single"/>
        </w:rPr>
        <w:t>Section 2(a)</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Section 4(a)</w:t>
      </w:r>
      <w:r>
        <w:rPr>
          <w:color w:val="000000"/>
        </w:rPr>
        <w:t xml:space="preserve"> </w:t>
      </w:r>
      <w:r>
        <w:rPr>
          <w:rFonts w:ascii="Times New Roman" w:hAnsi="Times New Roman"/>
          <w:color w:val="000000"/>
          <w:sz w:val="22"/>
        </w:rPr>
        <w:t>within three Business Days of the Company’s request, any liquidated damages that would otherwise accrue as to such Investor only shall be tolled until such information is delivered to the Company.</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(e)</w:t>
      </w:r>
    </w:p>
    <w:p>
      <w:pPr>
        <w:pStyle w:val="TextBody"/>
        <w:bidi w:val="0"/>
        <w:jc w:val="both"/>
        <w:rPr/>
      </w:pPr>
      <w:r>
        <w:rPr>
          <w:rFonts w:ascii="Times New Roman" w:hAnsi="Times New Roman"/>
          <w:color w:val="000000"/>
          <w:sz w:val="22"/>
          <w:u w:val="single"/>
        </w:rPr>
        <w:t>Allowable Delays.</w:t>
      </w:r>
      <w:r>
        <w:rPr>
          <w:color w:val="000000"/>
        </w:rPr>
        <w:t xml:space="preserve"> </w:t>
      </w:r>
      <w:r>
        <w:rPr>
          <w:rFonts w:ascii="Times New Roman" w:hAnsi="Times New Roman"/>
          <w:color w:val="000000"/>
          <w:sz w:val="22"/>
        </w:rPr>
        <w:t>On no more than two occasions and for not more than 30 consecutive days or for a total of not more than 60 days in any 12 month period, the Company may delay the effectiveness of the Initial Registration Statement or any other Registration Statement, or suspend the use of any Prospectus, in the event that the Company determines in good faith that such delay or suspension is necessary to (A) delay the disclosure of material non-public information concerning the Company, the disclosure of which at the time is not, in the good faith opinion of the Company, in the best interests of the Company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 w:hAnsi="Times New Roman"/>
          <w:b/>
          <w:color w:val="000000"/>
          <w:sz w:val="22"/>
        </w:rPr>
        <w:t>Allowed Delay</w:t>
      </w:r>
      <w:r>
        <w:rPr>
          <w:color w:val="000000"/>
        </w:rPr>
        <w:t>”</w:t>
      </w:r>
      <w:r>
        <w:rPr>
          <w:rFonts w:ascii="Times New Roman" w:hAnsi="Times New Roman"/>
          <w:color w:val="000000"/>
          <w:sz w:val="22"/>
        </w:rPr>
        <w:t>); provided, that the Company shall promptly (a) notify each Investor in writing of the commencement of an Allowed Delay, but shall not (without the prior written consent of an Investor) disclose to such Investor any material non-public information giving rise to an Allowed Delay, (b) advise the Investors in writing to cease all sales under the Registration Statement until the end of the Allowed Delay and (c) use commercially reasonable efforts to terminate an Allowed Delay as promptly as practicable.</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(f)</w:t>
      </w:r>
    </w:p>
    <w:p>
      <w:pPr>
        <w:pStyle w:val="TextBody"/>
        <w:bidi w:val="0"/>
        <w:jc w:val="both"/>
        <w:rPr/>
      </w:pPr>
      <w:r>
        <w:rPr>
          <w:rFonts w:ascii="Times New Roman" w:hAnsi="Times New Roman"/>
          <w:color w:val="000000"/>
          <w:sz w:val="22"/>
          <w:u w:val="single"/>
        </w:rPr>
        <w:t>Rule 415; Cutback</w:t>
      </w:r>
      <w:r>
        <w:rPr>
          <w:rFonts w:ascii="Times New Roman" w:hAnsi="Times New Roman"/>
          <w:color w:val="000000"/>
          <w:sz w:val="22"/>
        </w:rPr>
        <w:t xml:space="preserve">. If at any time the SEC takes the position that the offering of some or all of the Registrable Securities in any Registration Statement is not eligible to be made on a delayed or continuous basis under the provisions of Rule 415 under the Securities Act (provided, however, the Company shall be obligated to use reasonable best efforts to advocate with the SEC for the registration of all of the Registrable Securities) or requires any Investor to be named as an “underwriter,” the Company shall (i) promptly notify each holder of Registrable Securities thereof and (ii) make commercially reasonable efforts to persuade the SEC that the offering contemplated by such Registration Statement is a valid secondary offering and not an offering “by or on behalf of the issuer” as defined in Rule 415 and that none of the Investors is an “underwriter.” The Investors shall have the right to select one legal counsel, at such Investors’ expense, to review and oversee any registration or matters pursuant to this </w:t>
      </w:r>
      <w:r>
        <w:rPr>
          <w:rFonts w:ascii="Times New Roman" w:hAnsi="Times New Roman"/>
          <w:color w:val="000000"/>
          <w:sz w:val="22"/>
          <w:u w:val="single"/>
        </w:rPr>
        <w:t>Section 2(f)</w:t>
      </w:r>
      <w:r>
        <w:rPr>
          <w:rFonts w:ascii="Times New Roman" w:hAnsi="Times New Roman"/>
          <w:color w:val="000000"/>
          <w:sz w:val="22"/>
        </w:rPr>
        <w:t xml:space="preserve">, including participation in any meetings or discussions with the SEC regarding the SEC’s position and to comment on any written submission made to the SEC with respect thereto. No such written submission with respect to this matter shall be made to the SEC to which any Investor’s counsel reasonably objects. In the event that, despite the Company’s reasonable best efforts and compliance with the terms of this </w:t>
      </w:r>
      <w:r>
        <w:rPr>
          <w:rFonts w:ascii="Times New Roman" w:hAnsi="Times New Roman"/>
          <w:color w:val="000000"/>
          <w:sz w:val="22"/>
          <w:u w:val="single"/>
        </w:rPr>
        <w:t>Section 2(f)</w:t>
      </w:r>
      <w:r>
        <w:rPr>
          <w:rFonts w:ascii="Times New Roman" w:hAnsi="Times New Roman"/>
          <w:color w:val="000000"/>
          <w:sz w:val="22"/>
        </w:rPr>
        <w:t>, the SEC refuses to alter its position, the Company shall (i) remove from such Registration Statement such portion of the Registrable Securities (the “</w:t>
      </w:r>
      <w:r>
        <w:rPr>
          <w:rFonts w:ascii="Times New Roman" w:hAnsi="Times New Roman"/>
          <w:b/>
          <w:color w:val="000000"/>
          <w:sz w:val="22"/>
        </w:rPr>
        <w:t>Cut Back Shares</w:t>
      </w:r>
      <w:r>
        <w:rPr>
          <w:color w:val="000000"/>
        </w:rPr>
        <w:t>”</w:t>
      </w:r>
      <w:r>
        <w:rPr>
          <w:rFonts w:ascii="Times New Roman" w:hAnsi="Times New Roman"/>
          <w:color w:val="000000"/>
          <w:sz w:val="22"/>
        </w:rPr>
        <w:t>) and/or (ii) agree to such restrictions and limitations on the registration and resale of the Registrable Securities as the SEC may require to assure the Company’s compliance with the requirements of Rule 415 (collectively, the “</w:t>
      </w:r>
      <w:r>
        <w:rPr>
          <w:rFonts w:ascii="Times New Roman" w:hAnsi="Times New Roman"/>
          <w:b/>
          <w:color w:val="000000"/>
          <w:sz w:val="22"/>
        </w:rPr>
        <w:t>SEC Restrictions</w:t>
      </w:r>
      <w:r>
        <w:rPr>
          <w:color w:val="000000"/>
        </w:rPr>
        <w:t>”</w:t>
      </w:r>
      <w:r>
        <w:rPr>
          <w:rFonts w:ascii="Times New Roman" w:hAnsi="Times New Roman"/>
          <w:color w:val="000000"/>
          <w:sz w:val="22"/>
        </w:rPr>
        <w:t xml:space="preserve">); provided, however, that the Company shall not name any Investor as an “underwriter” in such Registration Statement without the prior written consent of such Investor (provided that, in the event an Investor withholds such consent, the Company shall have no obligation hereunder to include any Registrable Securities of such Investor in any Registration Statement covering the resale thereof until such time as the SEC no longer requires such Investor to be named as an “underwriter” in such Registration Statement or such Investor otherwise consents in writing to being so named). Any cut-back imposed on the Investors pursuant to this </w:t>
      </w:r>
      <w:r>
        <w:rPr>
          <w:rFonts w:ascii="Times New Roman" w:hAnsi="Times New Roman"/>
          <w:color w:val="000000"/>
          <w:sz w:val="22"/>
          <w:u w:val="single"/>
        </w:rPr>
        <w:t>Section 2(f)</w:t>
      </w:r>
      <w:r>
        <w:rPr>
          <w:color w:val="000000"/>
        </w:rPr>
        <w:t xml:space="preserve"> </w:t>
      </w:r>
      <w:r>
        <w:rPr>
          <w:rFonts w:ascii="Times New Roman" w:hAnsi="Times New Roman"/>
          <w:color w:val="000000"/>
          <w:sz w:val="22"/>
        </w:rPr>
        <w:t xml:space="preserve">shall be allocated among the Investors on a pro rata basis and shall be applied first to any of the Registrable Securities of such Investor as such Investor shall designate, unless the SEC Restrictions otherwise require or provide or the Investors otherwise agree. No liquidated damages shall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rFonts w:ascii="Times New Roman" w:hAnsi="Times New Roman"/>
          <w:color w:val="000000"/>
          <w:sz w:val="22"/>
        </w:rPr>
        <w:t>accrue as to any Cut Back Shares until such date as the Company is able to effect the registration of such Cut Back Shares in accordance with any SEC Restrictions applicable to such Cut Back Shares (such date, the “</w:t>
      </w:r>
      <w:r>
        <w:rPr>
          <w:rFonts w:ascii="Times New Roman" w:hAnsi="Times New Roman"/>
          <w:b/>
          <w:color w:val="000000"/>
          <w:sz w:val="22"/>
        </w:rPr>
        <w:t>Restriction Termination Date</w:t>
      </w:r>
      <w:r>
        <w:rPr>
          <w:color w:val="000000"/>
        </w:rPr>
        <w:t>”</w:t>
      </w:r>
      <w:r>
        <w:rPr>
          <w:rFonts w:ascii="Times New Roman" w:hAnsi="Times New Roman"/>
          <w:color w:val="000000"/>
          <w:sz w:val="22"/>
        </w:rPr>
        <w:t>). From and after the Restriction Termination Date applicable to any Cut Back Shares, all of the provisions of this Section 2 (including the Company’s obligations with respect to the filing of a Registration Statement and its obligations to use reasonable best efforts to have such Registration Statement declared effective within the time periods set forth herein and the liquidated damages provisions relating thereto) shall again be applicable to such Cut Back Shares; provided, however, that the date by which the Company is required to file the Registration Statement with respect to such Cut Back Shares shall be the tenth day following the Restriction Termination Date and the date by which the Company is required to have the Registration Statement effective with respect to such Cut Back Shares shall be the 55</w:t>
      </w:r>
      <w:r>
        <w:rPr>
          <w:rFonts w:ascii="Times New Roman" w:hAnsi="Times New Roman"/>
          <w:color w:val="000000"/>
          <w:sz w:val="15"/>
        </w:rPr>
        <w:t>th</w:t>
      </w:r>
      <w:r>
        <w:rPr>
          <w:color w:val="000000"/>
        </w:rPr>
        <w:t xml:space="preserve"> </w:t>
      </w:r>
      <w:r>
        <w:rPr>
          <w:rFonts w:ascii="Times New Roman" w:hAnsi="Times New Roman"/>
          <w:color w:val="000000"/>
          <w:sz w:val="22"/>
        </w:rPr>
        <w:t>day immediately after the Restriction Termination Date.</w:t>
      </w:r>
      <w:r>
        <w:rPr>
          <w:color w:val="000000"/>
        </w:rPr>
        <w:t xml:space="preserve"> </w:t>
      </w:r>
    </w:p>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3.</w:t>
      </w:r>
    </w:p>
    <w:p>
      <w:pPr>
        <w:pStyle w:val="TextBody"/>
        <w:bidi w:val="0"/>
        <w:jc w:val="left"/>
        <w:rPr>
          <w:rFonts w:ascii="Times New Roman" w:hAnsi="Times New Roman"/>
          <w:b/>
          <w:color w:val="000000"/>
          <w:sz w:val="22"/>
        </w:rPr>
      </w:pPr>
      <w:r>
        <w:rPr>
          <w:rFonts w:ascii="Times New Roman" w:hAnsi="Times New Roman"/>
          <w:b/>
          <w:color w:val="000000"/>
          <w:sz w:val="22"/>
        </w:rPr>
        <w:t>RELATED COMPANY OBLIGATIONS.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 xml:space="preserve">With respect to the Registration Statement and whenever any Registrable Securities are to be Registered pursuant to </w:t>
      </w:r>
      <w:r>
        <w:rPr>
          <w:rFonts w:ascii="Times New Roman" w:hAnsi="Times New Roman"/>
          <w:color w:val="000000"/>
          <w:sz w:val="22"/>
          <w:u w:val="single"/>
        </w:rPr>
        <w:t>Section 2</w:t>
      </w:r>
      <w:r>
        <w:rPr>
          <w:rFonts w:ascii="Times New Roman" w:hAnsi="Times New Roman"/>
          <w:color w:val="000000"/>
          <w:sz w:val="22"/>
        </w:rPr>
        <w:t>, including on the Initial Registration Statement or on any New Registration Statement, the Company shall use its reasonable best efforts to effect the registration of the Registrable Securities in accordance with the intended method of disposition thereof and, pursuant thereto, the Company shall have the following obligations: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pPr>
      <w:r>
        <w:rPr>
          <w:rFonts w:ascii="Times New Roman" w:hAnsi="Times New Roman"/>
          <w:color w:val="000000"/>
          <w:sz w:val="22"/>
          <w:u w:val="single"/>
        </w:rPr>
        <w:t>Notifications</w:t>
      </w:r>
      <w:r>
        <w:rPr>
          <w:rFonts w:ascii="Times New Roman" w:hAnsi="Times New Roman"/>
          <w:color w:val="000000"/>
          <w:sz w:val="22"/>
        </w:rPr>
        <w:t>. The Company will promptly notify the Investors when any subsequent amendment to the Initial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any New Registration Statement or any Prospectus or for additional information.</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pPr>
      <w:r>
        <w:rPr>
          <w:rFonts w:ascii="Times New Roman" w:hAnsi="Times New Roman"/>
          <w:color w:val="000000"/>
          <w:sz w:val="22"/>
          <w:u w:val="single"/>
        </w:rPr>
        <w:t>Amendments.</w:t>
      </w:r>
      <w:r>
        <w:rPr>
          <w:color w:val="000000"/>
        </w:rPr>
        <w:t xml:space="preserve"> </w:t>
      </w:r>
      <w:r>
        <w:rPr>
          <w:rFonts w:ascii="Times New Roman" w:hAnsi="Times New Roman"/>
          <w:color w:val="000000"/>
          <w:sz w:val="22"/>
        </w:rPr>
        <w:t>The Company will prepare and file with the SEC any amendments, post-effective amendments or supplements to the Initial Registration Statement, any New Registration Statement or any Prospectus, as applicable, that, (a) as may be necessary to keep such Registration Statement effective for the Registration Period and to comply with the provisions of the Securities Act and the Securities Exchange Act of 1934, as amended (the “</w:t>
      </w:r>
      <w:r>
        <w:rPr>
          <w:rFonts w:ascii="Times New Roman" w:hAnsi="Times New Roman"/>
          <w:b/>
          <w:color w:val="000000"/>
          <w:sz w:val="22"/>
        </w:rPr>
        <w:t>Exchange Act</w:t>
      </w:r>
      <w:r>
        <w:rPr>
          <w:color w:val="000000"/>
        </w:rPr>
        <w:t>”</w:t>
      </w:r>
      <w:r>
        <w:rPr>
          <w:rFonts w:ascii="Times New Roman" w:hAnsi="Times New Roman"/>
          <w:color w:val="000000"/>
          <w:sz w:val="22"/>
        </w:rPr>
        <w:t>) with respect to the distribution of all of the Registrable Securities covered thereby, or (b) in the reasonable opinion of the Investors and the Company, as may be necessary or advisable in connection with any acquisition or sale of Registrable Securities by the Investors.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pPr>
      <w:r>
        <w:rPr>
          <w:rFonts w:ascii="Times New Roman" w:hAnsi="Times New Roman"/>
          <w:color w:val="000000"/>
          <w:sz w:val="22"/>
          <w:u w:val="single"/>
        </w:rPr>
        <w:t>Investor Review</w:t>
      </w:r>
      <w:r>
        <w:rPr>
          <w:rFonts w:ascii="Times New Roman" w:hAnsi="Times New Roman"/>
          <w:color w:val="000000"/>
          <w:sz w:val="22"/>
        </w:rPr>
        <w:t>. The Company will not file any amendment or supplement to the Registration Statement, any New Registration Statement or any Prospectus, other than documents incorporated by reference, relating to the Investors, the Registrable Securities or the transactions contemplated hereby unless (A) the Investors and their counsel shall have been advised and afforded the opportunity to review and comment thereon at least three (3) Business Days prior to filing with the SEC and (B) the Company shall have given reasonable due consideration to any comments thereon received from the Investors or their counsel.</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w:t>
      </w:r>
    </w:p>
    <w:p>
      <w:pPr>
        <w:pStyle w:val="TextBody"/>
        <w:bidi w:val="0"/>
        <w:jc w:val="both"/>
        <w:rPr/>
      </w:pPr>
      <w:r>
        <w:rPr>
          <w:rFonts w:ascii="Times New Roman" w:hAnsi="Times New Roman"/>
          <w:color w:val="000000"/>
          <w:sz w:val="22"/>
          <w:u w:val="single"/>
        </w:rPr>
        <w:t>Copies Available</w:t>
      </w:r>
      <w:r>
        <w:rPr>
          <w:rFonts w:ascii="Times New Roman" w:hAnsi="Times New Roman"/>
          <w:color w:val="000000"/>
          <w:sz w:val="22"/>
        </w:rPr>
        <w:t xml:space="preserve">. The Company will furnish to any Investor whose Registrable Securities are included in any Registration Statement and its counsel copies of the Initial Registration Statement, any Prospectus thereunder (including all documents incorporated by reference therein), any Prospectus supplement thereunder, any New Registration Statement and all amendments to the Initial 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Company to the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rFonts w:ascii="Times New Roman" w:hAnsi="Times New Roman"/>
          <w:color w:val="000000"/>
          <w:sz w:val="22"/>
        </w:rPr>
        <w:t>SEC or the staff of the SEC, and each item of correspondence from the SEC or the staff of the SEC, in each case relating to such Registration Statement (other than any portion thereof which contains information for which the Company has sought confidential treatment) and such other documents as Investor may reasonably request in order to facilitate the disposition of the Registrable Securities owned by Investor that are covered by such Registration Statement, in each case as soon as reasonably practicable upon such Investor’s request and in such quantities as such Investor may from time to time reasonably request; provided, however, that the Company shall not be required to furnish any document to the Investor to the extent such document is available on EDGAR.</w:t>
      </w:r>
      <w:r>
        <w:rPr>
          <w:color w:val="000000"/>
        </w:rPr>
        <w:t xml:space="preserve">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(e)</w:t>
      </w:r>
    </w:p>
    <w:p>
      <w:pPr>
        <w:pStyle w:val="TextBody"/>
        <w:bidi w:val="0"/>
        <w:jc w:val="both"/>
        <w:rPr/>
      </w:pPr>
      <w:r>
        <w:rPr>
          <w:rFonts w:ascii="Times New Roman" w:hAnsi="Times New Roman"/>
          <w:color w:val="000000"/>
          <w:sz w:val="22"/>
          <w:u w:val="single"/>
        </w:rPr>
        <w:t>Notification of Stop Orders; Material Changes</w:t>
      </w:r>
      <w:r>
        <w:rPr>
          <w:rFonts w:ascii="Times New Roman" w:hAnsi="Times New Roman"/>
          <w:color w:val="000000"/>
          <w:sz w:val="22"/>
        </w:rPr>
        <w:t>. The Company shall use commercially reasonable efforts to (i) prevent the issuance of any stop order or other suspension of effectiveness and, (ii) if such order is issued, obtain the withdrawal of any such order as soon as practicable. The Company shall advise the Investors promptly (but in no event later than 24 hours) and shall confirm such advice in writing, in each case: (i) of the Company’s receipt of notice of any request by the SEC or any other federal or state governmental authority for amendment of or a supplement to the Registration Statement or any Prospectus or for any additional information; (ii) of the Company’s receipt of notice of the issuance by the SEC or any other federal or state governmental authority of any stop order suspending the effectiveness of the Initial Registration Statement or prohibiting or suspending the use of any Prospectus or Prospectus supplement, or any New Registration Statement, or of the Company’s receipt of any notification of the suspension of qualification of the Registrable Securities for offering or sale in any jurisdiction or the initiation or contemplated initiation of any proceeding for such purpose; and (iii) of the Company becoming aware of the happening of any event, which makes any statement of a material fact made in any Registration Statement or any Prospectus untrue or which requires 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 Securities Act or any other law. The Company shall not be required to disclose to the Investors the substance of specific reasons of any of the events set forth in clause (i) to (iii) of the immediately preceding sentence (each, a “</w:t>
      </w:r>
      <w:r>
        <w:rPr>
          <w:rFonts w:ascii="Times New Roman" w:hAnsi="Times New Roman"/>
          <w:b/>
          <w:color w:val="000000"/>
          <w:sz w:val="22"/>
        </w:rPr>
        <w:t>Suspension Event</w:t>
      </w:r>
      <w:r>
        <w:rPr>
          <w:color w:val="000000"/>
        </w:rPr>
        <w:t>”</w:t>
      </w:r>
      <w:r>
        <w:rPr>
          <w:rFonts w:ascii="Times New Roman" w:hAnsi="Times New Roman"/>
          <w:color w:val="000000"/>
          <w:sz w:val="22"/>
        </w:rPr>
        <w:t xml:space="preserve">), but rather, shall only be required to disclose that the event has occurred. If at any time the SEC, or any other federal or state governmental authority shall issue any stop order suspending the effectiveness of any Registration Statement or prohibiting or suspending the use of any Prospectus or Prospectus supplement, the Company shall use its reasonable best efforts to obtain the withdrawal of such order at the earliest practicable time. The Company shall furnish to the Investors, without charge, a copy of any correspondence from the SEC or the staff of the SEC, or any other federal or state governmental authority to the Company or its representatives relating to the Initial Registration Statement, any New Registration Statement or any Prospectus, or Prospectus supplement as the case may be. In the event of a Suspension Event set forth in clause (iii) of the first sentence of this </w:t>
      </w:r>
      <w:r>
        <w:rPr>
          <w:rFonts w:ascii="Times New Roman" w:hAnsi="Times New Roman"/>
          <w:color w:val="000000"/>
          <w:sz w:val="22"/>
          <w:u w:val="single"/>
        </w:rPr>
        <w:t>Section 3(e)</w:t>
      </w:r>
      <w:r>
        <w:rPr>
          <w:rFonts w:ascii="Times New Roman" w:hAnsi="Times New Roman"/>
          <w:color w:val="000000"/>
          <w:sz w:val="22"/>
        </w:rPr>
        <w:t>, the Company will use its commercially reasonable efforts to publicly disclose such event as soon as reasonably practicable, or otherwise resolve the matter such that sales under Registration Statements may resume; provided, however, that if the Company has a bona fide business purpose for not making such information public, the Company may suspend the use of all Registration Statements for up to 60 consecutive calendar days; provided, further, that the Company may not suspend the use of all Registration Statements more than twice, or for more than 90 total calendar days, in each case during any twelve-month period.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(f)</w:t>
      </w:r>
    </w:p>
    <w:p>
      <w:pPr>
        <w:pStyle w:val="TextBody"/>
        <w:bidi w:val="0"/>
        <w:jc w:val="both"/>
        <w:rPr/>
      </w:pPr>
      <w:r>
        <w:rPr>
          <w:rFonts w:ascii="Times New Roman" w:hAnsi="Times New Roman"/>
          <w:color w:val="000000"/>
          <w:sz w:val="22"/>
          <w:u w:val="single"/>
        </w:rPr>
        <w:t>Confirmation of Effectiveness</w:t>
      </w:r>
      <w:r>
        <w:rPr>
          <w:rFonts w:ascii="Times New Roman" w:hAnsi="Times New Roman"/>
          <w:color w:val="000000"/>
          <w:sz w:val="22"/>
        </w:rPr>
        <w:t xml:space="preserve">. If reasonably requested by an Investor at any time in respect of any Registration Statement, the Company shall deliver to such Investor a written confirmation from Company’s counsel of whether or not the effectiveness of such Registration Statement has lapsed at any time for any reason (including, without limitation, the issuance of a stop order) and whether or not such Registration Statement is currently effective and available to the Company for sale of Registrable Securities. </w:t>
      </w:r>
    </w:p>
    <w:p>
      <w:pPr>
        <w:pStyle w:val="TextBody"/>
        <w:bidi w:val="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(g)</w:t>
      </w:r>
    </w:p>
    <w:p>
      <w:pPr>
        <w:pStyle w:val="TextBody"/>
        <w:bidi w:val="0"/>
        <w:jc w:val="both"/>
        <w:rPr/>
      </w:pPr>
      <w:r>
        <w:rPr>
          <w:rFonts w:ascii="Times New Roman" w:hAnsi="Times New Roman"/>
          <w:color w:val="000000"/>
          <w:sz w:val="22"/>
          <w:u w:val="single"/>
        </w:rPr>
        <w:t>Listing</w:t>
      </w:r>
      <w:r>
        <w:rPr>
          <w:rFonts w:ascii="Times New Roman" w:hAnsi="Times New Roman"/>
          <w:color w:val="000000"/>
          <w:sz w:val="22"/>
        </w:rPr>
        <w:t>. The Company shall use best efforts to cause all Registrable Securities covered by a Registration Statement to be listed on the Nasdaq Global Select Market.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(h)</w:t>
      </w:r>
    </w:p>
    <w:p>
      <w:pPr>
        <w:pStyle w:val="TextBody"/>
        <w:bidi w:val="0"/>
        <w:jc w:val="both"/>
        <w:rPr/>
      </w:pPr>
      <w:r>
        <w:rPr>
          <w:rFonts w:ascii="Times New Roman" w:hAnsi="Times New Roman"/>
          <w:color w:val="000000"/>
          <w:sz w:val="22"/>
          <w:u w:val="single"/>
        </w:rPr>
        <w:t>Compliance</w:t>
      </w:r>
      <w:r>
        <w:rPr>
          <w:rFonts w:ascii="Times New Roman" w:hAnsi="Times New Roman"/>
          <w:color w:val="000000"/>
          <w:sz w:val="22"/>
        </w:rPr>
        <w:t xml:space="preserve">. The Company shall otherwise use best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promptly inform the Investor in writing if, at any time during the Registration Period, the Company does not satisfy the conditions specified in Rule 172 and, as a result thereof, the Investor is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12 months, beginning after the effective date of each Registration Statement, which earnings statement shall satisfy the provisions of Section 11(a) of the Securities Act, including Rule 158 promulgated thereunder (for the purpose of this </w:t>
      </w:r>
      <w:r>
        <w:rPr>
          <w:rFonts w:ascii="Times New Roman" w:hAnsi="Times New Roman"/>
          <w:color w:val="000000"/>
          <w:sz w:val="22"/>
          <w:u w:val="single"/>
        </w:rPr>
        <w:t>subsection 3(h)</w:t>
      </w:r>
      <w:r>
        <w:rPr>
          <w:rFonts w:ascii="Times New Roman" w:hAnsi="Times New Roman"/>
          <w:color w:val="000000"/>
          <w:sz w:val="22"/>
        </w:rPr>
        <w:t>, “</w:t>
      </w:r>
      <w:r>
        <w:rPr>
          <w:rFonts w:ascii="Times New Roman" w:hAnsi="Times New Roman"/>
          <w:b/>
          <w:color w:val="000000"/>
          <w:sz w:val="22"/>
        </w:rPr>
        <w:t>Availability Date</w:t>
      </w:r>
      <w:r>
        <w:rPr>
          <w:color w:val="000000"/>
        </w:rPr>
        <w:t xml:space="preserve">” </w:t>
      </w:r>
      <w:r>
        <w:rPr>
          <w:rFonts w:ascii="Times New Roman" w:hAnsi="Times New Roman"/>
          <w:color w:val="000000"/>
          <w:sz w:val="22"/>
        </w:rPr>
        <w:t>means the 45</w:t>
      </w:r>
      <w:r>
        <w:rPr>
          <w:rFonts w:ascii="Times New Roman" w:hAnsi="Times New Roman"/>
          <w:color w:val="000000"/>
          <w:sz w:val="15"/>
        </w:rPr>
        <w:t>th</w:t>
      </w:r>
      <w:r>
        <w:rPr>
          <w:color w:val="000000"/>
        </w:rPr>
        <w:t xml:space="preserve"> </w:t>
      </w:r>
      <w:r>
        <w:rPr>
          <w:rFonts w:ascii="Times New Roman" w:hAnsi="Times New Roman"/>
          <w:color w:val="000000"/>
          <w:sz w:val="22"/>
        </w:rPr>
        <w:t>day following the end of the fourth fiscal quarter that includes the effective date of such Registration Statement, except that, if such fourth fiscal quarter is the last quarter of the Company’s fiscal year, “</w:t>
      </w:r>
      <w:r>
        <w:rPr>
          <w:rFonts w:ascii="Times New Roman" w:hAnsi="Times New Roman"/>
          <w:b/>
          <w:color w:val="000000"/>
          <w:sz w:val="22"/>
        </w:rPr>
        <w:t>Availability Date</w:t>
      </w:r>
      <w:r>
        <w:rPr>
          <w:color w:val="000000"/>
        </w:rPr>
        <w:t xml:space="preserve">” </w:t>
      </w:r>
      <w:r>
        <w:rPr>
          <w:rFonts w:ascii="Times New Roman" w:hAnsi="Times New Roman"/>
          <w:color w:val="000000"/>
          <w:sz w:val="22"/>
        </w:rPr>
        <w:t>means the 90</w:t>
      </w:r>
      <w:r>
        <w:rPr>
          <w:rFonts w:ascii="Times New Roman" w:hAnsi="Times New Roman"/>
          <w:color w:val="000000"/>
          <w:sz w:val="15"/>
        </w:rPr>
        <w:t>th</w:t>
      </w:r>
      <w:r>
        <w:rPr>
          <w:color w:val="000000"/>
        </w:rPr>
        <w:t xml:space="preserve"> </w:t>
      </w:r>
      <w:r>
        <w:rPr>
          <w:rFonts w:ascii="Times New Roman" w:hAnsi="Times New Roman"/>
          <w:color w:val="000000"/>
          <w:sz w:val="22"/>
        </w:rPr>
        <w:t>day after the end of such fourth fiscal quarter).</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w:t>
      </w:r>
    </w:p>
    <w:p>
      <w:pPr>
        <w:pStyle w:val="TextBody"/>
        <w:bidi w:val="0"/>
        <w:jc w:val="both"/>
        <w:rPr/>
      </w:pPr>
      <w:r>
        <w:rPr>
          <w:rFonts w:ascii="Times New Roman" w:hAnsi="Times New Roman"/>
          <w:color w:val="000000"/>
          <w:sz w:val="22"/>
          <w:u w:val="single"/>
        </w:rPr>
        <w:t>Blue-Sky</w:t>
      </w:r>
      <w:r>
        <w:rPr>
          <w:rFonts w:ascii="Times New Roman" w:hAnsi="Times New Roman"/>
          <w:color w:val="000000"/>
          <w:sz w:val="22"/>
        </w:rPr>
        <w:t xml:space="preserve">. The Company shall register or qualify or cooperate with the Investor and their counsel in connection with the registration or qualification of such Registrable Securities for the offer and sale under the securities or blue sky laws of such jurisdictions reasonably requested by the Investor; provided, however, that the Company shall not be required in connection therewith or as a condition thereto to (i) qualify to do business in any jurisdiction where it would not otherwise be required to qualify but for this </w:t>
      </w:r>
      <w:r>
        <w:rPr>
          <w:rFonts w:ascii="Times New Roman" w:hAnsi="Times New Roman"/>
          <w:color w:val="000000"/>
          <w:sz w:val="22"/>
          <w:u w:val="single"/>
        </w:rPr>
        <w:t>Section 3(i)</w:t>
      </w:r>
      <w:r>
        <w:rPr>
          <w:rFonts w:ascii="Times New Roman" w:hAnsi="Times New Roman"/>
          <w:color w:val="000000"/>
          <w:sz w:val="22"/>
        </w:rPr>
        <w:t xml:space="preserve">, (ii) subject itself to general taxation in any jurisdiction where it would not otherwise be so subject but for this </w:t>
      </w:r>
      <w:r>
        <w:rPr>
          <w:rFonts w:ascii="Times New Roman" w:hAnsi="Times New Roman"/>
          <w:color w:val="000000"/>
          <w:sz w:val="22"/>
          <w:u w:val="single"/>
        </w:rPr>
        <w:t>Section 3(i)</w:t>
      </w:r>
      <w:r>
        <w:rPr>
          <w:rFonts w:ascii="Times New Roman" w:hAnsi="Times New Roman"/>
          <w:color w:val="000000"/>
          <w:sz w:val="22"/>
        </w:rPr>
        <w:t>, or (iii) file a general consent to service of process in any such jurisdiction.</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(j)</w:t>
      </w:r>
    </w:p>
    <w:p>
      <w:pPr>
        <w:pStyle w:val="TextBody"/>
        <w:bidi w:val="0"/>
        <w:jc w:val="both"/>
        <w:rPr/>
      </w:pPr>
      <w:r>
        <w:rPr>
          <w:rFonts w:ascii="Times New Roman" w:hAnsi="Times New Roman"/>
          <w:color w:val="000000"/>
          <w:sz w:val="22"/>
          <w:u w:val="single"/>
        </w:rPr>
        <w:t>Rule 144</w:t>
      </w:r>
      <w:r>
        <w:rPr>
          <w:rFonts w:ascii="Times New Roman" w:hAnsi="Times New Roman"/>
          <w:color w:val="000000"/>
          <w:sz w:val="22"/>
        </w:rPr>
        <w:t>. With a view to making available to the Investors the benefits of Rule 144 (or its successor rule) and any other rule or regulation of the SEC that may at any time permit the Investors to sell shares of Common Stock to the public without registration, the Company covenants and agrees to: (i) make and keep adequate current public information available, as those terms are understood and defined in Rule 144, until the earlier of (A) six months after such date as all of the Registrable Securities may be sold without restriction by the holders thereof pursuant to Rule 144 or any other rule of similar effect or (B) such date as there are no longer Registrable Securities; and (ii) file with the SEC in a timely manner all reports and other documents required of the Company under the Exchange Act; (iii) furnish electronically to each Investor upon request, as long as such Investor owns any Registrable Securities, (A) a written statement by the Company that it has complied with the reporting requirements of the Exchange Act, (B) a copy of or electronic access to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(k)</w:t>
      </w:r>
    </w:p>
    <w:p>
      <w:pPr>
        <w:pStyle w:val="TextBody"/>
        <w:bidi w:val="0"/>
        <w:jc w:val="both"/>
        <w:rPr/>
      </w:pPr>
      <w:r>
        <w:rPr>
          <w:rFonts w:ascii="Times New Roman" w:hAnsi="Times New Roman"/>
          <w:color w:val="000000"/>
          <w:sz w:val="22"/>
          <w:u w:val="single"/>
        </w:rPr>
        <w:t>Cooperation.</w:t>
      </w:r>
      <w:r>
        <w:rPr>
          <w:color w:val="000000"/>
        </w:rPr>
        <w:t xml:space="preserve"> </w:t>
      </w:r>
      <w:r>
        <w:rPr>
          <w:rFonts w:ascii="Times New Roman" w:hAnsi="Times New Roman"/>
          <w:color w:val="000000"/>
          <w:sz w:val="22"/>
        </w:rPr>
        <w:t>The Company shall cooperate with the holders of the Registrable Securities to facilitate the timely preparation and delivery of certificates or uncertificated shares representing the Registrable Securities to be sold pursuant to such Registration Statement or Rule 144 free of any restrictive legends and representing such number of shares of Common Stock and registered in such names as the holders of the Registrable Securities may reasonably request to the extent permitted by such Registration Statement or Rule 144 to effect sales of Registrable Securities ; for the avoidance of doubt, the Company may satisfy its obligations hereunder without issuing physical stock certificates through the use of The Depository Trust Company’s Direct Registration System.</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4.</w:t>
      </w:r>
    </w:p>
    <w:p>
      <w:pPr>
        <w:pStyle w:val="TextBody"/>
        <w:bidi w:val="0"/>
        <w:jc w:val="left"/>
        <w:rPr>
          <w:rFonts w:ascii="Times New Roman" w:hAnsi="Times New Roman"/>
          <w:b/>
          <w:color w:val="000000"/>
          <w:sz w:val="22"/>
        </w:rPr>
      </w:pPr>
      <w:r>
        <w:rPr>
          <w:rFonts w:ascii="Times New Roman" w:hAnsi="Times New Roman"/>
          <w:b/>
          <w:color w:val="000000"/>
          <w:sz w:val="22"/>
        </w:rPr>
        <w:t>OBLIGATIONS OF THE INVESTORS.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pPr>
      <w:r>
        <w:rPr>
          <w:rFonts w:ascii="Times New Roman" w:hAnsi="Times New Roman"/>
          <w:color w:val="000000"/>
          <w:sz w:val="22"/>
          <w:u w:val="single"/>
        </w:rPr>
        <w:t>Investor Information</w:t>
      </w:r>
      <w:r>
        <w:rPr>
          <w:rFonts w:ascii="Times New Roman" w:hAnsi="Times New Roman"/>
          <w:color w:val="000000"/>
          <w:sz w:val="22"/>
        </w:rPr>
        <w:t xml:space="preserve">. Each Investor shall provide a completed Investor Questionnaire in the form attached hereto as </w:t>
      </w:r>
      <w:r>
        <w:rPr>
          <w:rFonts w:ascii="Times New Roman" w:hAnsi="Times New Roman"/>
          <w:color w:val="000000"/>
          <w:sz w:val="22"/>
          <w:u w:val="single"/>
        </w:rPr>
        <w:t>Exhibit B</w:t>
      </w:r>
      <w:r>
        <w:rPr>
          <w:color w:val="000000"/>
        </w:rPr>
        <w:t xml:space="preserve"> </w:t>
      </w:r>
      <w:r>
        <w:rPr>
          <w:rFonts w:ascii="Times New Roman" w:hAnsi="Times New Roman"/>
          <w:color w:val="000000"/>
          <w:sz w:val="22"/>
        </w:rPr>
        <w:t xml:space="preserve">in connection with the registration of the Registrable Securities. If the Company has not received such completed Investor Questionnaire from an Investor within three Business Days of the Company’s request, the Company may file the Registration Statement without including such Investor’s Registrable Securities.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pPr>
      <w:r>
        <w:rPr>
          <w:rFonts w:ascii="Times New Roman" w:hAnsi="Times New Roman"/>
          <w:color w:val="000000"/>
          <w:sz w:val="22"/>
          <w:u w:val="single"/>
        </w:rPr>
        <w:t>Suspension of Sales</w:t>
      </w:r>
      <w:r>
        <w:rPr>
          <w:rFonts w:ascii="Times New Roman" w:hAnsi="Times New Roman"/>
          <w:color w:val="000000"/>
          <w:sz w:val="22"/>
        </w:rPr>
        <w:t xml:space="preserve">. Each Investor, severally and not jointly with any other Investor, agrees that, upon receipt of any notice from the Company of the existence of an Allowed Delay or a Suspension Event as set forth in </w:t>
      </w:r>
      <w:r>
        <w:rPr>
          <w:rFonts w:ascii="Times New Roman" w:hAnsi="Times New Roman"/>
          <w:color w:val="000000"/>
          <w:sz w:val="22"/>
          <w:u w:val="single"/>
        </w:rPr>
        <w:t>Section 3(e)</w:t>
      </w:r>
      <w:r>
        <w:rPr>
          <w:rFonts w:ascii="Times New Roman" w:hAnsi="Times New Roman"/>
          <w:color w:val="000000"/>
          <w:sz w:val="22"/>
        </w:rPr>
        <w:t>, the Investor will immediately discontinue disposition of Registrable Securities pursuant to any Registration Statement covering such Registrable Securities until the Investor's receipt of a notice from the Company confirming the resolution of such Allowed Delay or Suspension Event and that such dispositions may again be made; provided, for the avoidance of doubt, that the foregoing shall not limit the right of the Investor to sell or otherwise dispose of the Registrable Securities pursuant to Rule 144 or any other exemption from the registration requirements of the Securities Act or to settle a transaction pursuant to a Registration Statement as to which a contract for such sale was entered into prior to such Investor’s receipt of the notice from the Company of the existence of the Allowed Delay or Suspension Event. The Company shall cause its transfer agent to deliver unlegended shares of Common Stock to a transferee of an Investor in accordance with any sale of Registrable Securities pursuant to a Registration Statement with respect to which such Investor has entered into a contract for sale prior to such Investor’s receipt of the notice from the Company of the existence of the Allowed Delay or Suspension Event.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pPr>
      <w:r>
        <w:rPr>
          <w:rFonts w:ascii="Times New Roman" w:hAnsi="Times New Roman"/>
          <w:color w:val="000000"/>
          <w:sz w:val="22"/>
          <w:u w:val="single"/>
        </w:rPr>
        <w:t>Investor Cooperation</w:t>
      </w:r>
      <w:r>
        <w:rPr>
          <w:rFonts w:ascii="Times New Roman" w:hAnsi="Times New Roman"/>
          <w:color w:val="000000"/>
          <w:sz w:val="22"/>
        </w:rPr>
        <w:t>. Each Investor, severally and not jointly with any other Investor, agrees to cooperate with the Company as reasonably requested by the Company in connection with the preparation and filing of any amendments and supplements to any Registration Statement or New Registration Statement hereunder, unless such Investor has notified the Company in writing of its election to exclude all of its Registrable Securities from such Registration Statement.</w:t>
      </w:r>
    </w:p>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5.</w:t>
      </w:r>
    </w:p>
    <w:p>
      <w:pPr>
        <w:pStyle w:val="TextBody"/>
        <w:bidi w:val="0"/>
        <w:jc w:val="left"/>
        <w:rPr>
          <w:rFonts w:ascii="Times New Roman" w:hAnsi="Times New Roman"/>
          <w:b/>
          <w:color w:val="000000"/>
          <w:sz w:val="22"/>
        </w:rPr>
      </w:pPr>
      <w:r>
        <w:rPr>
          <w:rFonts w:ascii="Times New Roman" w:hAnsi="Times New Roman"/>
          <w:b/>
          <w:color w:val="000000"/>
          <w:sz w:val="22"/>
        </w:rPr>
        <w:t>EXPENSES OF REGISTRATION.</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All Registration Expenses incurred in connection with registrations pursuant to this Agreement shall be borne by the Company. All Selling Expenses relating to securities registered on behalf of the Investors shall be borne by the Investors pro rata on the basis of the number of Registrable Securities so registered.</w:t>
      </w:r>
    </w:p>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6.</w:t>
      </w:r>
    </w:p>
    <w:p>
      <w:pPr>
        <w:pStyle w:val="TextBody"/>
        <w:bidi w:val="0"/>
        <w:jc w:val="left"/>
        <w:rPr>
          <w:rFonts w:ascii="Times New Roman" w:hAnsi="Times New Roman"/>
          <w:b/>
          <w:color w:val="000000"/>
          <w:sz w:val="22"/>
        </w:rPr>
      </w:pPr>
      <w:r>
        <w:rPr>
          <w:rFonts w:ascii="Times New Roman" w:hAnsi="Times New Roman"/>
          <w:b/>
          <w:color w:val="000000"/>
          <w:sz w:val="22"/>
        </w:rPr>
        <w:t>INDEMNIFICATION.</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pPr>
      <w:r>
        <w:rPr>
          <w:rFonts w:ascii="Times New Roman" w:hAnsi="Times New Roman"/>
          <w:color w:val="000000"/>
          <w:sz w:val="22"/>
        </w:rPr>
        <w:t>To the fullest extent permitted by law, the Company will, and hereby does, indemnify, hold harmless and defend the Investors, each Person, if any, who controls the Investors, the members, the directors, officers, partners, employees, members, managers, agents, representatives and advisors of the Investors and each Person, if any, who controls the Investors within the meaning of the Securities Act or the Exchange Act (each, an “</w:t>
      </w:r>
      <w:r>
        <w:rPr>
          <w:rFonts w:ascii="Times New Roman" w:hAnsi="Times New Roman"/>
          <w:b/>
          <w:color w:val="000000"/>
          <w:sz w:val="22"/>
        </w:rPr>
        <w:t>Indemnified Person</w:t>
      </w:r>
      <w:r>
        <w:rPr>
          <w:color w:val="000000"/>
        </w:rPr>
        <w:t>”</w:t>
      </w:r>
      <w:r>
        <w:rPr>
          <w:rFonts w:ascii="Times New Roman" w:hAnsi="Times New Roman"/>
          <w:color w:val="000000"/>
          <w:sz w:val="22"/>
        </w:rPr>
        <w:t>), against any losses, obligation, claims, damages, liabilities, contingencies, judgments, fines, penalties, charges, costs (including, without limitation, court costs and costs of preparation), reasonable and documented attorneys’ fees, amounts paid in settlement or reasonable and documented expenses, (collectively, “</w:t>
      </w:r>
      <w:r>
        <w:rPr>
          <w:rFonts w:ascii="Times New Roman" w:hAnsi="Times New Roman"/>
          <w:b/>
          <w:color w:val="000000"/>
          <w:sz w:val="22"/>
        </w:rPr>
        <w:t>Claims</w:t>
      </w:r>
      <w:r>
        <w:rPr>
          <w:color w:val="000000"/>
        </w:rPr>
        <w:t>”</w:t>
      </w:r>
      <w:r>
        <w:rPr>
          <w:rFonts w:ascii="Times New Roman" w:hAnsi="Times New Roman"/>
          <w:color w:val="000000"/>
          <w:sz w:val="22"/>
        </w:rPr>
        <w:t xml:space="preserve">)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Person is or may be a </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rFonts w:ascii="Times New Roman" w:hAnsi="Times New Roman"/>
          <w:color w:val="000000"/>
          <w:sz w:val="22"/>
        </w:rPr>
        <w:t>party thereto (“</w:t>
      </w:r>
      <w:r>
        <w:rPr>
          <w:rFonts w:ascii="Times New Roman" w:hAnsi="Times New Roman"/>
          <w:b/>
          <w:color w:val="000000"/>
          <w:sz w:val="22"/>
        </w:rPr>
        <w:t>Indemnified Damages</w:t>
      </w:r>
      <w:r>
        <w:rPr>
          <w:color w:val="000000"/>
        </w:rPr>
        <w:t>”</w:t>
      </w:r>
      <w:r>
        <w:rPr>
          <w:rFonts w:ascii="Times New Roman" w:hAnsi="Times New Roman"/>
          <w:color w:val="000000"/>
          <w:sz w:val="22"/>
        </w:rPr>
        <w:t>), to which any of them may become subject insofar as such Claims (or actions or proceedings, whether commenced or threatened, in respect thereof) arise out of or are based upon: (i) any untrue statement or alleged untrue statement or omission or alleged omission of any material fact contained in any Registration Statement, any preliminary prospectus or final prospectus, or any amendment or supplement thereof, or (ii) any violation or alleged violation by the Company or any of its subsidiaries of the Securities Act, Exchange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such registration of the Registrable Securities (the matters in the foregoing clauses (i) and (ii) being, collectively, “</w:t>
      </w:r>
      <w:r>
        <w:rPr>
          <w:rFonts w:ascii="Times New Roman" w:hAnsi="Times New Roman"/>
          <w:b/>
          <w:color w:val="000000"/>
          <w:sz w:val="22"/>
        </w:rPr>
        <w:t>Violations</w:t>
      </w:r>
      <w:r>
        <w:rPr>
          <w:color w:val="000000"/>
        </w:rPr>
        <w:t>”</w:t>
      </w:r>
      <w:r>
        <w:rPr>
          <w:rFonts w:ascii="Times New Roman" w:hAnsi="Times New Roman"/>
          <w:color w:val="000000"/>
          <w:sz w:val="22"/>
        </w:rPr>
        <w:t xml:space="preserve">). The Company shall reimburse each Indemnified Person promptly as such expenses are incurred and are due and payable, for any reasonable out-of-pocket legal fees or other reasonable and documented expenses incurred by them in connection with investigating or defending any such Claim. Notwithstanding anything to the contrary contained herein, the indemnification agreement contained in this </w:t>
      </w:r>
      <w:r>
        <w:rPr>
          <w:rFonts w:ascii="Times New Roman" w:hAnsi="Times New Roman"/>
          <w:color w:val="000000"/>
          <w:sz w:val="22"/>
          <w:u w:val="single"/>
        </w:rPr>
        <w:t>Section 6(a)</w:t>
      </w:r>
      <w:r>
        <w:rPr>
          <w:rFonts w:ascii="Times New Roman" w:hAnsi="Times New Roman"/>
          <w:color w:val="000000"/>
          <w:sz w:val="22"/>
        </w:rPr>
        <w:t xml:space="preserve">: (A) shall not apply to a Claim by an Indemnified Person arising out of or based upon a Violation which occurs in reliance upon and in conformity with information furnished in writing to the Company by the Investors or such Indemnified Person specifically for use in such Registration Statement or prospectus and was reviewed and approved in writing by such Investor or such Indemnified Person expressly for use in connection with the preparation of any Registration Statement, any prospectus or any such amendment thereof or supplement thereto, if such in each case if the foregoing was timely made available by the Company; (B) with respect to any superseded prospectus, shall not inure to the benefit of any such Person from whom the Person asserting any such Claim purchased the Registrable Securities that are the subject thereof (or to the benefit of any other 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 (C) shall not apply to amounts paid in settlement of any Claim if such settlement is effected without the prior written consent of the Company, which consent shall not be unreasonably withheld, conditioned or delayed. Such indemnity shall remain in full force and effect regardless of any investigation made by or on behalf of the Indemnified Person and shall survive the transfer of the Registrable Securities by the Investor pursuant to </w:t>
      </w:r>
      <w:r>
        <w:rPr>
          <w:rFonts w:ascii="Times New Roman" w:hAnsi="Times New Roman"/>
          <w:color w:val="000000"/>
          <w:sz w:val="22"/>
          <w:u w:val="single"/>
        </w:rPr>
        <w:t>Section 8</w:t>
      </w:r>
      <w:r>
        <w:rPr>
          <w:rFonts w:ascii="Times New Roman" w:hAnsi="Times New Roman"/>
          <w:color w:val="000000"/>
          <w:sz w:val="22"/>
        </w:rPr>
        <w: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pPr>
      <w:r>
        <w:rPr>
          <w:rFonts w:ascii="Times New Roman" w:hAnsi="Times New Roman"/>
          <w:color w:val="000000"/>
          <w:sz w:val="22"/>
        </w:rPr>
        <w:t>In connection with the Initial Registration Statement, any New Registration Statement or any prospectus, the Investors, severally and not jointly, agree to indemnify, hold harmless and defend, the Company, each of its directors, each of its officers who signed</w:t>
      </w:r>
      <w:r>
        <w:rPr>
          <w:color w:val="000000"/>
        </w:rPr>
        <w:t xml:space="preserve"> </w:t>
      </w:r>
      <w:r>
        <w:rPr>
          <w:rFonts w:ascii="Times New Roman" w:hAnsi="Times New Roman"/>
          <w:color w:val="000000"/>
          <w:sz w:val="22"/>
        </w:rPr>
        <w:t>the Initial Registration Statement or signs any New Registration Statement, each Person, if any, who controls the Company within the meaning of the Securities Act or the Exchange Act (each, an “</w:t>
      </w:r>
      <w:r>
        <w:rPr>
          <w:rFonts w:ascii="Times New Roman" w:hAnsi="Times New Roman"/>
          <w:b/>
          <w:color w:val="000000"/>
          <w:sz w:val="22"/>
        </w:rPr>
        <w:t>Indemnified Party</w:t>
      </w:r>
      <w:r>
        <w:rPr>
          <w:color w:val="000000"/>
        </w:rPr>
        <w:t>”</w:t>
      </w:r>
      <w:r>
        <w:rPr>
          <w:rFonts w:ascii="Times New Roman" w:hAnsi="Times New Roman"/>
          <w:color w:val="000000"/>
          <w:sz w:val="22"/>
        </w:rPr>
        <w:t xml:space="preserve">), against any losses, claims, damages, liabilities and expense (including reasonable attorney fees) resulting from any Violation, in each case to the extent, and only to the extent, that such Violation occurs in reliance upon and in conformity with information about an Investor furnished in writing by such Investor to the Company and reviewed and approved in writing by such Investor or such Indemnified Person expressly for use in connection with the preparation of the Registration Statement, any New Registration Statement, any prospectus or any such amendment thereof or supplement thereto. In no event shall the liability of an Investor be greater in amount than the dollar amount of the proceeds (net of all expense paid by such Investor in connection with any claim relating to this </w:t>
      </w:r>
      <w:r>
        <w:rPr>
          <w:rFonts w:ascii="Times New Roman" w:hAnsi="Times New Roman"/>
          <w:color w:val="000000"/>
          <w:sz w:val="22"/>
          <w:u w:val="single"/>
        </w:rPr>
        <w:t>Section 6</w:t>
      </w:r>
      <w:r>
        <w:rPr>
          <w:color w:val="000000"/>
        </w:rPr>
        <w:t xml:space="preserve"> </w:t>
      </w:r>
      <w:r>
        <w:rPr>
          <w:rFonts w:ascii="Times New Roman" w:hAnsi="Times New Roman"/>
          <w:color w:val="000000"/>
          <w:sz w:val="22"/>
        </w:rPr>
        <w:t xml:space="preserve">and the amount of any damages such Investor has otherwise been required to pay by reason of such untrue statement or omission) received by such Investor upon the sale of the Registrable Securities included in such Registration Statement giving rise to such indemnification obligation. Such indemnity shall remain in full force and effect regardless of any investigation made by or on behalf of such Indemnified Party and shall survive the transfer of the Registrable Securities by any Investor pursuant to </w:t>
      </w:r>
      <w:r>
        <w:rPr>
          <w:rFonts w:ascii="Times New Roman" w:hAnsi="Times New Roman"/>
          <w:color w:val="000000"/>
          <w:sz w:val="22"/>
          <w:u w:val="single"/>
        </w:rPr>
        <w:t>Section 8</w:t>
      </w:r>
      <w:r>
        <w:rPr>
          <w:rFonts w:ascii="Times New Roman" w:hAnsi="Times New Roman"/>
          <w:color w:val="000000"/>
          <w:sz w:val="22"/>
        </w:rPr>
        <w:t xml:space="preserve">.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pPr>
      <w:r>
        <w:rPr>
          <w:rFonts w:ascii="Times New Roman" w:hAnsi="Times New Roman"/>
          <w:color w:val="000000"/>
          <w:sz w:val="22"/>
        </w:rPr>
        <w:t xml:space="preserve">Promptly after receipt by an Indemnified Person or Indemnified Party under this </w:t>
      </w:r>
      <w:r>
        <w:rPr>
          <w:rFonts w:ascii="Times New Roman" w:hAnsi="Times New Roman"/>
          <w:color w:val="000000"/>
          <w:sz w:val="22"/>
          <w:u w:val="single"/>
        </w:rPr>
        <w:t>Section 6</w:t>
      </w:r>
      <w:r>
        <w:rPr>
          <w:color w:val="000000"/>
        </w:rPr>
        <w:t xml:space="preserve"> </w:t>
      </w:r>
      <w:r>
        <w:rPr>
          <w:rFonts w:ascii="Times New Roman" w:hAnsi="Times New Roman"/>
          <w:color w:val="000000"/>
          <w:sz w:val="22"/>
        </w:rPr>
        <w:t xml:space="preserve">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Times New Roman" w:hAnsi="Times New Roman"/>
          <w:color w:val="000000"/>
          <w:sz w:val="22"/>
          <w:u w:val="single"/>
        </w:rPr>
        <w:t>Section 6</w:t>
      </w:r>
      <w:r>
        <w:rPr>
          <w:rFonts w:ascii="Times New Roman" w:hAnsi="Times New Roman"/>
          <w:color w:val="000000"/>
          <w:sz w:val="22"/>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the Indemnified Party for any legal or other expenses subsequently incurred by the Indemnified Person or the Indemnified Party in connection with the defense thereof; provided, however, that an Indemnified Person or Indemnified Party (together with all other Indemnified Persons and Indemnified Parties that may be represented without conflict by one counsel) shall have the right to retain its own counsel with the reasonable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provided, however, that the indemnifying party shall not unreasonably withhold, delay or condition its consent. No indemnifying party shall, without the consent of the Indemnified Party or Indemnified Person, consent to entry of any judgment or enter into any settlement or other compromise unless such judgment or settlement (i) imposes no liability or obligation on, (ii) includes as an unconditional term thereof the giving of a complete, explicit and unconditional release from the party bringing such indemnified claims of all liability of the Indemnified Party or Indemnified Person in respect to or arising out of such claim or litigation in favor of, and (iii) does not include any admission of fault, culpability, wrongdoing, or wrongdoing or malfeasance by or on behalf of, the Indemnified Party or Indemnified Person.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 w:hAnsi="Times New Roman"/>
          <w:color w:val="000000"/>
          <w:sz w:val="22"/>
          <w:u w:val="single"/>
        </w:rPr>
        <w:t>Section 6</w:t>
      </w:r>
      <w:r>
        <w:rPr>
          <w:rFonts w:ascii="Times New Roman" w:hAnsi="Times New Roman"/>
          <w:color w:val="000000"/>
          <w:sz w:val="22"/>
        </w:rPr>
        <w:t>, except to the extent that the indemnifying party is prejudiced in its ability to defend such action.</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w:t>
      </w:r>
    </w:p>
    <w:p>
      <w:pPr>
        <w:pStyle w:val="TextBody"/>
        <w:bidi w:val="0"/>
        <w:jc w:val="both"/>
        <w:rPr/>
      </w:pPr>
      <w:r>
        <w:rPr>
          <w:rFonts w:ascii="Times New Roman" w:hAnsi="Times New Roman"/>
          <w:color w:val="000000"/>
          <w:sz w:val="22"/>
        </w:rPr>
        <w:t xml:space="preserve">The indemnification required by this </w:t>
      </w:r>
      <w:r>
        <w:rPr>
          <w:rFonts w:ascii="Times New Roman" w:hAnsi="Times New Roman"/>
          <w:color w:val="000000"/>
          <w:sz w:val="22"/>
          <w:u w:val="single"/>
        </w:rPr>
        <w:t>Section 6</w:t>
      </w:r>
      <w:r>
        <w:rPr>
          <w:color w:val="000000"/>
        </w:rPr>
        <w:t xml:space="preserve"> </w:t>
      </w:r>
      <w:r>
        <w:rPr>
          <w:rFonts w:ascii="Times New Roman" w:hAnsi="Times New Roman"/>
          <w:color w:val="000000"/>
          <w:sz w:val="22"/>
        </w:rPr>
        <w:t xml:space="preserve">shall be made by periodic payments of the amount thereof during the course of the investigation or defense, as and when bills are received or Indemnified Damages are incurred. Any Person receiving a payment pursuant to this </w:t>
      </w:r>
      <w:r>
        <w:rPr>
          <w:rFonts w:ascii="Times New Roman" w:hAnsi="Times New Roman"/>
          <w:color w:val="000000"/>
          <w:sz w:val="22"/>
          <w:u w:val="single"/>
        </w:rPr>
        <w:t>Section 6</w:t>
      </w:r>
      <w:r>
        <w:rPr>
          <w:color w:val="000000"/>
        </w:rPr>
        <w:t xml:space="preserve"> </w:t>
      </w:r>
      <w:r>
        <w:rPr>
          <w:rFonts w:ascii="Times New Roman" w:hAnsi="Times New Roman"/>
          <w:color w:val="000000"/>
          <w:sz w:val="22"/>
        </w:rPr>
        <w:t>which person is later determined to not be entitled to such payment shall return such payment (including reimbursement of expenses) to the person making it.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(e)</w:t>
      </w:r>
    </w:p>
    <w:p>
      <w:pPr>
        <w:pStyle w:val="TextBody"/>
        <w:bidi w:val="0"/>
        <w:jc w:val="both"/>
        <w:rPr>
          <w:rFonts w:ascii="Times New Roman" w:hAnsi="Times New Roman"/>
          <w:color w:val="000000"/>
          <w:sz w:val="22"/>
        </w:rPr>
      </w:pPr>
      <w:r>
        <w:rPr>
          <w:rFonts w:ascii="Times New Roman" w:hAnsi="Times New Roman"/>
          <w:color w:val="000000"/>
          <w:sz w:val="22"/>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7.</w:t>
      </w:r>
    </w:p>
    <w:p>
      <w:pPr>
        <w:pStyle w:val="TextBody"/>
        <w:bidi w:val="0"/>
        <w:jc w:val="left"/>
        <w:rPr>
          <w:rFonts w:ascii="Times New Roman" w:hAnsi="Times New Roman"/>
          <w:b/>
          <w:color w:val="000000"/>
          <w:sz w:val="22"/>
        </w:rPr>
      </w:pPr>
      <w:r>
        <w:rPr>
          <w:rFonts w:ascii="Times New Roman" w:hAnsi="Times New Roman"/>
          <w:b/>
          <w:color w:val="000000"/>
          <w:sz w:val="22"/>
        </w:rPr>
        <w:t>CONTRIBUTION.</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color w:val="000000"/>
          <w:sz w:val="22"/>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Times New Roman" w:hAnsi="Times New Roman"/>
          <w:color w:val="000000"/>
          <w:sz w:val="22"/>
          <w:u w:val="single"/>
        </w:rPr>
        <w:t>Section 6</w:t>
      </w:r>
      <w:r>
        <w:rPr>
          <w:rFonts w:ascii="Times New Roman" w:hAnsi="Times New Roman"/>
          <w:color w:val="000000"/>
          <w:sz w:val="20"/>
        </w:rPr>
        <w:t xml:space="preserve"> </w:t>
      </w:r>
      <w:r>
        <w:rPr>
          <w:rFonts w:ascii="Times New Roman" w:hAnsi="Times New Roman"/>
          <w:color w:val="000000"/>
          <w:sz w:val="22"/>
        </w:rPr>
        <w:t xml:space="preserve">to the fullest extent permitted by law; provided, however,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net amount of proceeds (net of all expenses paid by such holder in connection with any claim relating to this </w:t>
      </w:r>
      <w:r>
        <w:rPr>
          <w:rFonts w:ascii="Times New Roman" w:hAnsi="Times New Roman"/>
          <w:color w:val="000000"/>
          <w:sz w:val="22"/>
          <w:u w:val="single"/>
        </w:rPr>
        <w:t>Section 7</w:t>
      </w:r>
      <w:r>
        <w:rPr>
          <w:rFonts w:ascii="Times New Roman" w:hAnsi="Times New Roman"/>
          <w:color w:val="000000"/>
          <w:sz w:val="20"/>
        </w:rPr>
        <w:t xml:space="preserve"> </w:t>
      </w:r>
      <w:r>
        <w:rPr>
          <w:rFonts w:ascii="Times New Roman" w:hAnsi="Times New Roman"/>
          <w:color w:val="000000"/>
          <w:sz w:val="22"/>
        </w:rPr>
        <w:t>and the amount of any damages such holder has otherwise been required to pay by reason of such untrue or alleged untrue statement or omission or alleged omission) received by such seller from the sale of such Registrable Securities giving rise to such contribution obligation.</w:t>
      </w:r>
    </w:p>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8.</w:t>
      </w:r>
    </w:p>
    <w:p>
      <w:pPr>
        <w:pStyle w:val="TextBody"/>
        <w:bidi w:val="0"/>
        <w:jc w:val="left"/>
        <w:rPr>
          <w:rFonts w:ascii="Times New Roman" w:hAnsi="Times New Roman"/>
          <w:b/>
          <w:color w:val="000000"/>
          <w:sz w:val="22"/>
        </w:rPr>
      </w:pPr>
      <w:r>
        <w:rPr>
          <w:rFonts w:ascii="Times New Roman" w:hAnsi="Times New Roman"/>
          <w:b/>
          <w:color w:val="000000"/>
          <w:sz w:val="22"/>
        </w:rPr>
        <w:t>ASSIGNMENT OF REGISTRATION RIGHTS.</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shall not assign this Agreement or any rights or obligations hereunder (whether by operation of law or otherwise) without the prior written consent of the Investors holding a majority of the Registrable Securities then outstanding; provided, however, that in any transaction, whether by merger, reorganization, restructuring, consolidation, financing or otherwise, whereby the Company is a party and in which the Registrable Securities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 in connection with such transaction unless such securities are otherwise freely tradable by the Investor after giving effect to such transaction, and the prior written consent of the Investors holding a majority of the Registrable Securities then outstanding shall not be required for such transaction.</w:t>
      </w:r>
    </w:p>
    <w:p>
      <w:pPr>
        <w:pStyle w:val="TextBody"/>
        <w:bidi w:val="0"/>
        <w:spacing w:before="0" w:after="240"/>
        <w:jc w:val="both"/>
        <w:rPr>
          <w:rFonts w:ascii="Times New Roman" w:hAnsi="Times New Roman"/>
          <w:color w:val="222222"/>
          <w:sz w:val="22"/>
        </w:rPr>
      </w:pPr>
      <w:r>
        <w:rPr>
          <w:rFonts w:ascii="Times New Roman" w:hAnsi="Times New Roman"/>
          <w:color w:val="222222"/>
          <w:sz w:val="22"/>
        </w:rPr>
        <w:t>An Investor may transfer or assign its rights hereunder, in whole or from time to time in part, to one or more Persons in connection with the transfer of not fewer than 500,000 Registrable Securities, with such number to be adjusted for any stock split or reverse stock split, by such Investor to such Person, provided that such Investor complies with all laws applicable thereto, and the provisions of the Purchase Agreement, and provides written notice of assignment to the Company promptly after such assignment is effected, and such Person agrees in writing to be bound by all of the provisions contained herein.</w:t>
      </w:r>
    </w:p>
    <w:p>
      <w:pPr>
        <w:pStyle w:val="TextBody"/>
        <w:bidi w:val="0"/>
        <w:jc w:val="both"/>
        <w:rPr>
          <w:rFonts w:ascii="Times New Roman" w:hAnsi="Times New Roman"/>
          <w:color w:val="000000"/>
          <w:sz w:val="22"/>
        </w:rPr>
      </w:pPr>
      <w:r>
        <w:rPr>
          <w:rFonts w:ascii="Times New Roman" w:hAnsi="Times New Roman"/>
          <w:color w:val="000000"/>
          <w:sz w:val="22"/>
        </w:rPr>
        <w:t>The provisions of this Agreement shall be binding upon and inure to the benefit of the Investor and its successors and permitted assigns.</w:t>
      </w:r>
    </w:p>
    <w:p>
      <w:pPr>
        <w:pStyle w:val="TextBody"/>
        <w:bidi w:val="0"/>
        <w:jc w:val="both"/>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9.</w:t>
      </w:r>
    </w:p>
    <w:p>
      <w:pPr>
        <w:pStyle w:val="TextBody"/>
        <w:bidi w:val="0"/>
        <w:jc w:val="left"/>
        <w:rPr>
          <w:rFonts w:ascii="Times New Roman" w:hAnsi="Times New Roman"/>
          <w:b/>
          <w:color w:val="000000"/>
          <w:sz w:val="22"/>
        </w:rPr>
      </w:pPr>
      <w:r>
        <w:rPr>
          <w:rFonts w:ascii="Times New Roman" w:hAnsi="Times New Roman"/>
          <w:b/>
          <w:color w:val="000000"/>
          <w:sz w:val="22"/>
        </w:rPr>
        <w:t>AMENDMENTS AND WAIVERS.</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provisions of this Agreement, including the provisions of this sentence, may be amended, modified or supplemented, or waived only by a written instrument executed by (i) the Company and (ii) the holders of a majority of the then outstanding Registrable Securities, provided that (1) any party may give a waiver as to itself, (2) any amendment, modification, supplement or waiver that disproportionately and adversely affects the rights and obligations of any Investor relative to the comparable rights and obligations of the other Investors shall require the prior written consent of such adversely affected Investor or each Investor, as applicable, and (3) any amendments to Section 6 or to the definitions of “Filing Deadline,” “Effectiveness Deadline,” or “Registration Period” shall require the written consent of each Investor. Notwithstanding the foregoing, a waiver or consent to depart from the provisions hereof with respect to a matter that relates exclusively to the rights of one or more Investors and that does not adversely directly or indirectly affect the rights of other Investors may be given by Investors holding all of the Registrable Securities to which such waiver or consent relates.</w:t>
      </w:r>
    </w:p>
    <w:p>
      <w:pPr>
        <w:pStyle w:val="TextBody"/>
        <w:bidi w:val="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10.</w:t>
      </w:r>
    </w:p>
    <w:p>
      <w:pPr>
        <w:pStyle w:val="TextBody"/>
        <w:bidi w:val="0"/>
        <w:jc w:val="left"/>
        <w:rPr>
          <w:rFonts w:ascii="Times New Roman" w:hAnsi="Times New Roman"/>
          <w:b/>
          <w:color w:val="000000"/>
          <w:sz w:val="22"/>
        </w:rPr>
      </w:pPr>
      <w:r>
        <w:rPr>
          <w:rFonts w:ascii="Times New Roman" w:hAnsi="Times New Roman"/>
          <w:b/>
          <w:color w:val="000000"/>
          <w:sz w:val="22"/>
        </w:rPr>
        <w:t>MISCELLANEOUS.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pPr>
      <w:r>
        <w:rPr>
          <w:rFonts w:ascii="Times New Roman" w:hAnsi="Times New Roman"/>
          <w:color w:val="000000"/>
          <w:sz w:val="22"/>
          <w:u w:val="single"/>
        </w:rPr>
        <w:t>Notices</w:t>
      </w:r>
      <w:r>
        <w:rPr>
          <w:rFonts w:ascii="Times New Roman" w:hAnsi="Times New Roman"/>
          <w:color w:val="000000"/>
          <w:sz w:val="22"/>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earlier of (x) confirmation of receipt or (y) the opening of business on the recipient’s next Business Day, (c) three days after having been sent by certified or registered mail, return-receipt requested and postage prepaid, or (d) one Business Day after deposit with a nationally recognized overnight courier, freight prepaid, specifying next business day delivery, with written verification of receipt:</w:t>
      </w:r>
    </w:p>
    <w:p>
      <w:pPr>
        <w:pStyle w:val="TextBody"/>
        <w:bidi w:val="0"/>
        <w:jc w:val="both"/>
        <w:rPr/>
      </w:pPr>
      <w:r>
        <w:rPr/>
        <w:t> </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If to the Company, addressed as follows:</w:t>
      </w:r>
    </w:p>
    <w:p>
      <w:pPr>
        <w:pStyle w:val="TextBody"/>
        <w:bidi w:val="0"/>
        <w:jc w:val="left"/>
        <w:rPr>
          <w:rFonts w:ascii="Times New Roman" w:hAnsi="Times New Roman"/>
          <w:color w:val="000000"/>
          <w:sz w:val="22"/>
        </w:rPr>
      </w:pPr>
      <w:r>
        <w:rPr>
          <w:rFonts w:ascii="Times New Roman" w:hAnsi="Times New Roman"/>
          <w:color w:val="000000"/>
          <w:sz w:val="22"/>
        </w:rPr>
        <w:t>Vor Biopharma Inc.</w:t>
      </w:r>
    </w:p>
    <w:p>
      <w:pPr>
        <w:pStyle w:val="TextBody"/>
        <w:bidi w:val="0"/>
        <w:jc w:val="left"/>
        <w:rPr>
          <w:rFonts w:ascii="Times New Roman" w:hAnsi="Times New Roman"/>
          <w:color w:val="000000"/>
          <w:sz w:val="22"/>
        </w:rPr>
      </w:pPr>
      <w:r>
        <w:rPr>
          <w:rFonts w:ascii="Times New Roman" w:hAnsi="Times New Roman"/>
          <w:color w:val="000000"/>
          <w:sz w:val="22"/>
        </w:rPr>
        <w:t>500 Boylston Street, Suite 1350</w:t>
      </w:r>
    </w:p>
    <w:p>
      <w:pPr>
        <w:pStyle w:val="TextBody"/>
        <w:bidi w:val="0"/>
        <w:jc w:val="left"/>
        <w:rPr>
          <w:rFonts w:ascii="Times New Roman" w:hAnsi="Times New Roman"/>
          <w:color w:val="000000"/>
          <w:sz w:val="22"/>
        </w:rPr>
      </w:pPr>
      <w:r>
        <w:rPr>
          <w:rFonts w:ascii="Times New Roman" w:hAnsi="Times New Roman"/>
          <w:color w:val="000000"/>
          <w:sz w:val="22"/>
        </w:rPr>
        <w:t>Boston, Massachusetts 02116</w:t>
      </w:r>
    </w:p>
    <w:p>
      <w:pPr>
        <w:pStyle w:val="TextBody"/>
        <w:bidi w:val="0"/>
        <w:jc w:val="left"/>
        <w:rPr>
          <w:rFonts w:ascii="Times New Roman" w:hAnsi="Times New Roman"/>
          <w:sz w:val="20"/>
        </w:rPr>
      </w:pPr>
      <w:r>
        <w:rPr>
          <w:rFonts w:ascii="Times New Roman" w:hAnsi="Times New Roman"/>
          <w:color w:val="000000"/>
          <w:sz w:val="22"/>
        </w:rPr>
        <w:t>Attention: Adi Osovsky</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Email: aosovsky@vorbio.com</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 a copy (which shall not constitute notice):</w:t>
      </w:r>
    </w:p>
    <w:p>
      <w:pPr>
        <w:pStyle w:val="TextBody"/>
        <w:bidi w:val="0"/>
        <w:jc w:val="left"/>
        <w:rPr>
          <w:rFonts w:ascii="Times New Roman" w:hAnsi="Times New Roman"/>
          <w:color w:val="000000"/>
          <w:sz w:val="22"/>
        </w:rPr>
      </w:pPr>
      <w:r>
        <w:rPr>
          <w:rFonts w:ascii="Times New Roman" w:hAnsi="Times New Roman"/>
          <w:color w:val="000000"/>
          <w:sz w:val="22"/>
        </w:rPr>
        <w:t>Cooley LLP</w:t>
      </w:r>
    </w:p>
    <w:p>
      <w:pPr>
        <w:pStyle w:val="TextBody"/>
        <w:bidi w:val="0"/>
        <w:jc w:val="left"/>
        <w:rPr>
          <w:rFonts w:ascii="Times New Roman" w:hAnsi="Times New Roman"/>
          <w:color w:val="000000"/>
          <w:sz w:val="22"/>
        </w:rPr>
      </w:pPr>
      <w:r>
        <w:rPr>
          <w:rFonts w:ascii="Times New Roman" w:hAnsi="Times New Roman"/>
          <w:color w:val="000000"/>
          <w:sz w:val="22"/>
        </w:rPr>
        <w:t>1299 Pennsylvania Avenue NW STE 700</w:t>
      </w:r>
    </w:p>
    <w:p>
      <w:pPr>
        <w:pStyle w:val="TextBody"/>
        <w:bidi w:val="0"/>
        <w:jc w:val="left"/>
        <w:rPr>
          <w:rFonts w:ascii="Times New Roman" w:hAnsi="Times New Roman"/>
          <w:color w:val="000000"/>
          <w:sz w:val="22"/>
        </w:rPr>
      </w:pPr>
      <w:r>
        <w:rPr>
          <w:rFonts w:ascii="Times New Roman" w:hAnsi="Times New Roman"/>
          <w:color w:val="000000"/>
          <w:sz w:val="22"/>
        </w:rPr>
        <w:t>Washington, DC 20221</w:t>
      </w:r>
    </w:p>
    <w:p>
      <w:pPr>
        <w:pStyle w:val="TextBody"/>
        <w:bidi w:val="0"/>
        <w:jc w:val="left"/>
        <w:rPr>
          <w:rFonts w:ascii="Times New Roman" w:hAnsi="Times New Roman"/>
          <w:color w:val="000000"/>
          <w:sz w:val="22"/>
        </w:rPr>
      </w:pPr>
      <w:r>
        <w:rPr>
          <w:rFonts w:ascii="Times New Roman" w:hAnsi="Times New Roman"/>
          <w:color w:val="000000"/>
          <w:sz w:val="22"/>
        </w:rPr>
        <w:t>Attention: Madison Jones</w:t>
      </w:r>
    </w:p>
    <w:p>
      <w:pPr>
        <w:pStyle w:val="TextBody"/>
        <w:bidi w:val="0"/>
        <w:jc w:val="left"/>
        <w:rPr>
          <w:rFonts w:ascii="Times New Roman" w:hAnsi="Times New Roman"/>
          <w:sz w:val="20"/>
        </w:rPr>
      </w:pPr>
      <w:r>
        <w:rPr>
          <w:rFonts w:ascii="Times New Roman" w:hAnsi="Times New Roman"/>
          <w:color w:val="000000"/>
          <w:sz w:val="22"/>
        </w:rPr>
        <w:t>Email: madison.jones@cooley.com</w:t>
      </w:r>
      <w:r>
        <w:rPr>
          <w:rFonts w:ascii="Times New Roman" w:hAnsi="Times New Roman"/>
          <w:color w:val="000000"/>
          <w:sz w:val="20"/>
        </w:rPr>
        <w:t xml:space="preserve"> </w:t>
      </w:r>
    </w:p>
    <w:p>
      <w:pPr>
        <w:pStyle w:val="TextBody"/>
        <w:bidi w:val="0"/>
        <w:jc w:val="left"/>
        <w:rPr/>
      </w:pPr>
      <w:r>
        <w:rPr/>
        <w:t> </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00"/>
        <w:jc w:val="both"/>
        <w:rPr/>
      </w:pPr>
      <w:r>
        <w:rPr>
          <w:rFonts w:ascii="Times New Roman" w:hAnsi="Times New Roman"/>
          <w:color w:val="000000"/>
          <w:sz w:val="22"/>
        </w:rPr>
        <w:t xml:space="preserve">If to any Investor, at its e-mail address or address set forth on its signature page to the Purchase Agreement, or to such e-mail address or address as subsequently modified by written notice given in accordance with this </w:t>
      </w:r>
      <w:r>
        <w:rPr>
          <w:rFonts w:ascii="Times New Roman" w:hAnsi="Times New Roman"/>
          <w:color w:val="000000"/>
          <w:sz w:val="22"/>
          <w:u w:val="single"/>
        </w:rPr>
        <w:t>Section 10</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Person may change the address to which notices and communications to it are to be addressed by notification as provided for herein.</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pPr>
      <w:r>
        <w:rPr>
          <w:rFonts w:ascii="Times New Roman" w:hAnsi="Times New Roman"/>
          <w:color w:val="000000"/>
          <w:sz w:val="22"/>
          <w:u w:val="single"/>
        </w:rPr>
        <w:t>Consent to Electronic Notice.</w:t>
      </w:r>
      <w:r>
        <w:rPr>
          <w:color w:val="000000"/>
        </w:rPr>
        <w:t xml:space="preserve"> </w:t>
      </w:r>
      <w:r>
        <w:rPr>
          <w:rFonts w:ascii="Times New Roman" w:hAnsi="Times New Roman"/>
          <w:color w:val="000000"/>
          <w:sz w:val="22"/>
        </w:rPr>
        <w:t>Each Investor consents to the delivery of any stockholder notice pursuant to the Delaware General Corporation Law (the “</w:t>
      </w:r>
      <w:r>
        <w:rPr>
          <w:rFonts w:ascii="Times New Roman" w:hAnsi="Times New Roman"/>
          <w:b/>
          <w:color w:val="000000"/>
          <w:sz w:val="22"/>
        </w:rPr>
        <w:t>DGCL</w:t>
      </w:r>
      <w:r>
        <w:rPr>
          <w:color w:val="000000"/>
        </w:rPr>
        <w:t>”</w:t>
      </w:r>
      <w:r>
        <w:rPr>
          <w:rFonts w:ascii="Times New Roman" w:hAnsi="Times New Roman"/>
          <w:color w:val="000000"/>
          <w:sz w:val="22"/>
        </w:rPr>
        <w:t>), as amended or superseded from time to time, by electronic mail pursuant to Section 232 of the DGCL (or any successor thereto) at the e-mail address set forth below the Investor’s name on the signature page,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pPr>
      <w:r>
        <w:rPr>
          <w:rFonts w:ascii="Times New Roman" w:hAnsi="Times New Roman"/>
          <w:color w:val="000000"/>
          <w:sz w:val="22"/>
          <w:u w:val="single"/>
        </w:rPr>
        <w:t>Waiver.</w:t>
      </w:r>
      <w:r>
        <w:rPr>
          <w:color w:val="000000"/>
        </w:rPr>
        <w:t xml:space="preserve"> </w:t>
      </w:r>
      <w:r>
        <w:rPr>
          <w:rFonts w:ascii="Times New Roman" w:hAnsi="Times New Roman"/>
          <w:color w:val="000000"/>
          <w:sz w:val="22"/>
        </w:rPr>
        <w:t>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w:t>
      </w:r>
    </w:p>
    <w:p>
      <w:pPr>
        <w:pStyle w:val="TextBody"/>
        <w:bidi w:val="0"/>
        <w:jc w:val="both"/>
        <w:rPr/>
      </w:pPr>
      <w:r>
        <w:rPr>
          <w:rFonts w:ascii="Times New Roman" w:hAnsi="Times New Roman"/>
          <w:color w:val="000000"/>
          <w:sz w:val="22"/>
          <w:u w:val="single"/>
        </w:rPr>
        <w:t>Governing Law</w:t>
      </w:r>
      <w:r>
        <w:rPr>
          <w:rFonts w:ascii="Times New Roman" w:hAnsi="Times New Roman"/>
          <w:color w:val="000000"/>
          <w:sz w:val="22"/>
        </w:rPr>
        <w:t xml:space="preserve">. The provisions of </w:t>
      </w:r>
      <w:r>
        <w:rPr>
          <w:rFonts w:ascii="Times New Roman" w:hAnsi="Times New Roman"/>
          <w:color w:val="000000"/>
          <w:sz w:val="22"/>
          <w:u w:val="single"/>
        </w:rPr>
        <w:t>Section 8.5</w:t>
      </w:r>
      <w:r>
        <w:rPr>
          <w:color w:val="000000"/>
        </w:rPr>
        <w:t xml:space="preserve"> </w:t>
      </w:r>
      <w:r>
        <w:rPr>
          <w:rFonts w:ascii="Times New Roman" w:hAnsi="Times New Roman"/>
          <w:color w:val="000000"/>
          <w:sz w:val="22"/>
        </w:rPr>
        <w:t xml:space="preserve">of the Purchase Agreement are incorporated by reference herein </w:t>
      </w:r>
      <w:r>
        <w:rPr>
          <w:rFonts w:ascii="Times New Roman" w:hAnsi="Times New Roman"/>
          <w:i/>
          <w:color w:val="000000"/>
          <w:sz w:val="22"/>
        </w:rPr>
        <w:t>mutatis mutandis</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(e)</w:t>
      </w:r>
    </w:p>
    <w:p>
      <w:pPr>
        <w:pStyle w:val="TextBody"/>
        <w:bidi w:val="0"/>
        <w:jc w:val="both"/>
        <w:rPr/>
      </w:pPr>
      <w:r>
        <w:rPr>
          <w:rFonts w:ascii="Times New Roman" w:hAnsi="Times New Roman"/>
          <w:color w:val="000000"/>
          <w:sz w:val="22"/>
          <w:u w:val="single"/>
        </w:rPr>
        <w:t>Headings</w:t>
      </w:r>
      <w:r>
        <w:rPr>
          <w:rFonts w:ascii="Times New Roman" w:hAnsi="Times New Roman"/>
          <w:color w:val="000000"/>
          <w:sz w:val="22"/>
        </w:rPr>
        <w:t>. The titles, subtitles and headings in this Agreement are for convenience of reference and shall not form part of, or affect the interpretation of, this Agreement.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(f)</w:t>
      </w:r>
    </w:p>
    <w:p>
      <w:pPr>
        <w:pStyle w:val="TextBody"/>
        <w:bidi w:val="0"/>
        <w:jc w:val="both"/>
        <w:rPr/>
      </w:pPr>
      <w:r>
        <w:rPr>
          <w:rFonts w:ascii="Times New Roman" w:hAnsi="Times New Roman"/>
          <w:color w:val="000000"/>
          <w:sz w:val="22"/>
          <w:u w:val="single"/>
        </w:rPr>
        <w:t>Counterparts</w:t>
      </w:r>
      <w:r>
        <w:rPr>
          <w:rFonts w:ascii="Times New Roman" w:hAnsi="Times New Roman"/>
          <w:color w:val="000000"/>
          <w:sz w:val="22"/>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(g)</w:t>
      </w:r>
    </w:p>
    <w:p>
      <w:pPr>
        <w:pStyle w:val="TextBody"/>
        <w:bidi w:val="0"/>
        <w:jc w:val="both"/>
        <w:rPr/>
      </w:pPr>
      <w:r>
        <w:rPr>
          <w:rFonts w:ascii="Times New Roman" w:hAnsi="Times New Roman"/>
          <w:color w:val="000000"/>
          <w:sz w:val="22"/>
          <w:u w:val="single"/>
        </w:rPr>
        <w:t>Further Assurances</w:t>
      </w:r>
      <w:r>
        <w:rPr>
          <w:rFonts w:ascii="Times New Roman" w:hAnsi="Times New Roman"/>
          <w:color w:val="000000"/>
          <w:sz w:val="22"/>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(h)</w:t>
      </w:r>
    </w:p>
    <w:p>
      <w:pPr>
        <w:pStyle w:val="TextBody"/>
        <w:bidi w:val="0"/>
        <w:jc w:val="both"/>
        <w:rPr/>
      </w:pPr>
      <w:r>
        <w:rPr>
          <w:rFonts w:ascii="Times New Roman" w:hAnsi="Times New Roman"/>
          <w:color w:val="000000"/>
          <w:sz w:val="22"/>
          <w:u w:val="single"/>
        </w:rPr>
        <w:t>Contract Interpretation</w:t>
      </w:r>
      <w:r>
        <w:rPr>
          <w:rFonts w:ascii="Times New Roman" w:hAnsi="Times New Roman"/>
          <w:color w:val="000000"/>
          <w:sz w:val="22"/>
        </w:rPr>
        <w:t>. This Agreement is the joint product of each Investor and the Company and each provision hereof has been subject to the mutual consultation, negotiation and agreement of such parties and shall not be construed for or against any party hereto.</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w:t>
      </w:r>
    </w:p>
    <w:p>
      <w:pPr>
        <w:pStyle w:val="TextBody"/>
        <w:bidi w:val="0"/>
        <w:jc w:val="both"/>
        <w:rPr/>
      </w:pPr>
      <w:r>
        <w:rPr>
          <w:rFonts w:ascii="Times New Roman" w:hAnsi="Times New Roman"/>
          <w:color w:val="000000"/>
          <w:sz w:val="22"/>
          <w:u w:val="single"/>
        </w:rPr>
        <w:t>No Third Party Beneficiaries</w:t>
      </w:r>
      <w:r>
        <w:rPr>
          <w:rFonts w:ascii="Times New Roman" w:hAnsi="Times New Roman"/>
          <w:color w:val="000000"/>
          <w:sz w:val="22"/>
        </w:rPr>
        <w:t>.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(j)</w:t>
      </w:r>
    </w:p>
    <w:p>
      <w:pPr>
        <w:pStyle w:val="TextBody"/>
        <w:bidi w:val="0"/>
        <w:jc w:val="both"/>
        <w:rPr/>
      </w:pPr>
      <w:r>
        <w:rPr>
          <w:rFonts w:ascii="Times New Roman" w:hAnsi="Times New Roman"/>
          <w:color w:val="000000"/>
          <w:sz w:val="22"/>
          <w:u w:val="single"/>
        </w:rPr>
        <w:t>Severability</w:t>
      </w:r>
      <w:r>
        <w:rPr>
          <w:rFonts w:ascii="Times New Roman" w:hAnsi="Times New Roman"/>
          <w:color w:val="000000"/>
          <w:sz w:val="22"/>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(k)</w:t>
      </w:r>
    </w:p>
    <w:p>
      <w:pPr>
        <w:pStyle w:val="TextBody"/>
        <w:bidi w:val="0"/>
        <w:jc w:val="both"/>
        <w:rPr/>
      </w:pPr>
      <w:r>
        <w:rPr>
          <w:rFonts w:ascii="Times New Roman" w:hAnsi="Times New Roman"/>
          <w:color w:val="000000"/>
          <w:sz w:val="22"/>
          <w:u w:val="single"/>
        </w:rPr>
        <w:t>Non-Recourse</w:t>
      </w:r>
      <w:r>
        <w:rPr>
          <w:rFonts w:ascii="Times New Roman" w:hAnsi="Times New Roman"/>
          <w:color w:val="000000"/>
          <w:sz w:val="22"/>
        </w:rPr>
        <w:t>.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stockholder, general or limited partner or member of the Investors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stockholder, general or limited partner or member of the Investors or of any affiliates or assignees thereof, as such for any obligation of the Investors under this Agreement or any documents or instruments delivered in connection with this Agreement for any claim based on, in respect of or by reason of such obligations or their creation.</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(l)</w:t>
      </w:r>
    </w:p>
    <w:p>
      <w:pPr>
        <w:pStyle w:val="TextBody"/>
        <w:bidi w:val="0"/>
        <w:jc w:val="both"/>
        <w:rPr/>
      </w:pPr>
      <w:r>
        <w:rPr>
          <w:rFonts w:ascii="Times New Roman" w:hAnsi="Times New Roman"/>
          <w:color w:val="000000"/>
          <w:sz w:val="22"/>
          <w:u w:val="single"/>
        </w:rPr>
        <w:t>Specific Performance.</w:t>
      </w:r>
      <w:r>
        <w:rPr>
          <w:color w:val="000000"/>
        </w:rPr>
        <w:t xml:space="preserve"> </w:t>
      </w:r>
      <w:r>
        <w:rPr>
          <w:rFonts w:ascii="Times New Roman" w:hAnsi="Times New Roman"/>
          <w:color w:val="000000"/>
          <w:sz w:val="22"/>
        </w:rPr>
        <w:t xml:space="preserve">In addition to any and all other remedies that may be available at law in the event of any breach of this Agreement, each Investor shall be entitled to specific </w:t>
      </w:r>
    </w:p>
    <w:p>
      <w:pPr>
        <w:pStyle w:val="TextBody"/>
        <w:bidi w:val="0"/>
        <w:jc w:val="center"/>
        <w:rPr>
          <w:rFonts w:ascii="Times New Roman" w:hAnsi="Times New Roman"/>
          <w:color w:val="000000"/>
          <w:sz w:val="22"/>
        </w:rPr>
      </w:pPr>
      <w:r>
        <w:rPr>
          <w:rFonts w:ascii="Times New Roman" w:hAnsi="Times New Roman"/>
          <w:color w:val="000000"/>
          <w:sz w:val="22"/>
        </w:rPr>
        <w:t>13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2"/>
        </w:rPr>
      </w:pPr>
      <w:r>
        <w:rPr>
          <w:rFonts w:ascii="Times New Roman" w:hAnsi="Times New Roman"/>
          <w:color w:val="000000"/>
          <w:sz w:val="22"/>
        </w:rPr>
        <w:t>performance of the agreements and obligations of the Company hereunder and to such other injunction or other equitable relief as may be granted by a court of competent jurisdiction.</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(m)</w:t>
      </w:r>
    </w:p>
    <w:p>
      <w:pPr>
        <w:pStyle w:val="TextBody"/>
        <w:bidi w:val="0"/>
        <w:jc w:val="both"/>
        <w:rPr/>
      </w:pPr>
      <w:r>
        <w:rPr>
          <w:rFonts w:ascii="Times New Roman" w:hAnsi="Times New Roman"/>
          <w:color w:val="000000"/>
          <w:sz w:val="22"/>
          <w:u w:val="single"/>
        </w:rPr>
        <w:t>Cumulative Remedies</w:t>
      </w:r>
      <w:r>
        <w:rPr>
          <w:rFonts w:ascii="Times New Roman" w:hAnsi="Times New Roman"/>
          <w:color w:val="000000"/>
          <w:sz w:val="22"/>
        </w:rPr>
        <w:t>. The remedies provided herein are cumulative and not exclusive of any remedies provided by law.</w:t>
      </w:r>
    </w:p>
    <w:p>
      <w:pPr>
        <w:pStyle w:val="TextBody"/>
        <w:bidi w:val="0"/>
        <w:jc w:val="left"/>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[Signature Page Follows]</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0" w:right="0" w:firstLine="1440"/>
        <w:jc w:val="left"/>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0"/>
        </w:rPr>
        <w:t xml:space="preserve"> </w:t>
      </w:r>
      <w:r>
        <w:rPr>
          <w:rFonts w:ascii="Times New Roman" w:hAnsi="Times New Roman"/>
          <w:color w:val="000000"/>
          <w:sz w:val="22"/>
        </w:rPr>
        <w:t>the parties have caused this Registration Rights Agreement to be duly executed as of date first written above.</w:t>
      </w:r>
    </w:p>
    <w:p>
      <w:pPr>
        <w:pStyle w:val="TextBody"/>
        <w:bidi w:val="0"/>
        <w:jc w:val="left"/>
        <w:rPr/>
      </w:pPr>
      <w:r>
        <w:rPr/>
        <w:t> </w:t>
      </w:r>
    </w:p>
    <w:p>
      <w:pPr>
        <w:pStyle w:val="TextBody"/>
        <w:bidi w:val="0"/>
        <w:jc w:val="left"/>
        <w:rPr/>
      </w:pPr>
      <w:r>
        <w:rPr/>
        <w:t> </w:t>
      </w:r>
    </w:p>
    <w:p>
      <w:pPr>
        <w:pStyle w:val="TextBody"/>
        <w:bidi w:val="0"/>
        <w:spacing w:before="0" w:after="480"/>
        <w:ind w:left="4320" w:right="0" w:hanging="0"/>
        <w:jc w:val="left"/>
        <w:rPr>
          <w:rFonts w:ascii="Times New Roman" w:hAnsi="Times New Roman"/>
          <w:sz w:val="20"/>
        </w:rPr>
      </w:pPr>
      <w:r>
        <w:rPr>
          <w:rFonts w:ascii="Times New Roman" w:hAnsi="Times New Roman"/>
          <w:b/>
          <w:color w:val="000000"/>
          <w:sz w:val="22"/>
        </w:rPr>
        <w:t>COMPANY:</w:t>
      </w:r>
      <w:r>
        <w:rPr>
          <w:rFonts w:ascii="Times New Roman" w:hAnsi="Times New Roman"/>
          <w:color w:val="000000"/>
          <w:sz w:val="22"/>
        </w:rPr>
        <w:br/>
        <w:br/>
      </w:r>
      <w:r>
        <w:rPr>
          <w:rFonts w:ascii="Times New Roman" w:hAnsi="Times New Roman"/>
          <w:b/>
          <w:color w:val="000000"/>
          <w:sz w:val="24"/>
        </w:rPr>
        <w:t>Vor Biopharma Inc.</w:t>
      </w:r>
    </w:p>
    <w:p>
      <w:pPr>
        <w:pStyle w:val="TextBody"/>
        <w:pBdr/>
        <w:bidi w:val="0"/>
        <w:spacing w:before="0" w:after="480"/>
        <w:ind w:left="4320" w:right="0" w:hanging="45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Jean-Paul Kress </w:t>
        <w:br/>
      </w:r>
      <w:r>
        <w:rPr>
          <w:rFonts w:ascii="Times New Roman" w:hAnsi="Times New Roman"/>
          <w:color w:val="000000"/>
          <w:sz w:val="24"/>
        </w:rPr>
        <w:t>Name: Jean-Paul Kress</w:t>
        <w:br/>
        <w:t>Title: Chief Executive Officer</w:t>
      </w:r>
    </w:p>
    <w:p>
      <w:pPr>
        <w:pStyle w:val="TextBody"/>
        <w:bidi w:val="0"/>
        <w:jc w:val="center"/>
        <w:rPr>
          <w:rFonts w:ascii="Times New Roman" w:hAnsi="Times New Roman"/>
          <w:i/>
          <w:color w:val="000000"/>
          <w:sz w:val="22"/>
        </w:rPr>
      </w:pPr>
      <w:r>
        <w:rPr>
          <w:rFonts w:ascii="Times New Roman" w:hAnsi="Times New Roman"/>
          <w:i/>
          <w:color w:val="000000"/>
          <w:sz w:val="22"/>
        </w:rPr>
        <w:t>[Signature Page to Registration Rights Agreement]</w:t>
      </w:r>
    </w:p>
    <w:p>
      <w:pPr>
        <w:pStyle w:val="HorizontalLine"/>
        <w:pBdr>
          <w:bottom w:val="double" w:sz="2" w:space="0" w:color="808080"/>
        </w:pBdr>
        <w:bidi w:val="0"/>
        <w:spacing w:before="0" w:after="283"/>
        <w:jc w:val="left"/>
        <w:rPr/>
      </w:pPr>
      <w:r>
        <w:rPr/>
      </w:r>
    </w:p>
    <w:p>
      <w:pPr>
        <w:pStyle w:val="TextBody"/>
        <w:bidi w:val="0"/>
        <w:ind w:left="0" w:right="0" w:hanging="0"/>
        <w:jc w:val="right"/>
        <w:rPr/>
      </w:pPr>
      <w:r>
        <w:rPr/>
        <w:t> </w:t>
      </w:r>
    </w:p>
    <w:p>
      <w:pPr>
        <w:pStyle w:val="TextBody"/>
        <w:bidi w:val="0"/>
        <w:ind w:left="0" w:right="0" w:firstLine="1440"/>
        <w:jc w:val="left"/>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0"/>
        </w:rPr>
        <w:t xml:space="preserve"> </w:t>
      </w:r>
      <w:r>
        <w:rPr>
          <w:rFonts w:ascii="Times New Roman" w:hAnsi="Times New Roman"/>
          <w:color w:val="000000"/>
          <w:sz w:val="22"/>
        </w:rPr>
        <w:t>the parties have caused this Registration Rights Agreement to be duly executed as of date first written above.</w:t>
      </w:r>
    </w:p>
    <w:p>
      <w:pPr>
        <w:pStyle w:val="TextBody"/>
        <w:bidi w:val="0"/>
        <w:jc w:val="left"/>
        <w:rPr/>
      </w:pPr>
      <w:r>
        <w:rPr/>
        <w:t> </w:t>
      </w:r>
    </w:p>
    <w:p>
      <w:pPr>
        <w:pStyle w:val="TextBody"/>
        <w:bidi w:val="0"/>
        <w:jc w:val="left"/>
        <w:rPr/>
      </w:pPr>
      <w:r>
        <w:rPr/>
        <w:t> </w:t>
      </w:r>
    </w:p>
    <w:p>
      <w:pPr>
        <w:pStyle w:val="TextBody"/>
        <w:bidi w:val="0"/>
        <w:spacing w:before="0" w:after="120"/>
        <w:ind w:left="4320" w:right="0" w:hanging="0"/>
        <w:jc w:val="left"/>
        <w:rPr>
          <w:rFonts w:ascii="Times New Roman" w:hAnsi="Times New Roman"/>
          <w:b/>
          <w:color w:val="000000"/>
          <w:sz w:val="22"/>
        </w:rPr>
      </w:pPr>
      <w:r>
        <w:rPr>
          <w:rFonts w:ascii="Times New Roman" w:hAnsi="Times New Roman"/>
          <w:b/>
          <w:color w:val="000000"/>
          <w:sz w:val="22"/>
        </w:rPr>
        <w:t>INVESTOR:</w:t>
      </w:r>
    </w:p>
    <w:p>
      <w:pPr>
        <w:pStyle w:val="TextBody"/>
        <w:bidi w:val="0"/>
        <w:spacing w:before="0" w:after="480"/>
        <w:ind w:left="4320" w:right="0" w:hanging="0"/>
        <w:jc w:val="left"/>
        <w:rPr>
          <w:rFonts w:ascii="Times New Roman" w:hAnsi="Times New Roman"/>
          <w:b/>
          <w:color w:val="000000"/>
          <w:sz w:val="24"/>
        </w:rPr>
      </w:pPr>
      <w:r>
        <w:rPr>
          <w:rFonts w:ascii="Times New Roman" w:hAnsi="Times New Roman"/>
          <w:b/>
          <w:color w:val="000000"/>
          <w:sz w:val="24"/>
        </w:rPr>
        <w:t>TCG CROSSOVER FUND II, L.P.</w:t>
      </w:r>
    </w:p>
    <w:p>
      <w:pPr>
        <w:pStyle w:val="TextBody"/>
        <w:bidi w:val="0"/>
        <w:spacing w:before="0" w:after="480"/>
        <w:ind w:left="4320" w:right="0" w:hanging="0"/>
        <w:jc w:val="left"/>
        <w:rPr>
          <w:rFonts w:ascii="Times New Roman" w:hAnsi="Times New Roman"/>
          <w:color w:val="000000"/>
          <w:sz w:val="24"/>
        </w:rPr>
      </w:pPr>
      <w:r>
        <w:rPr>
          <w:rFonts w:ascii="Times New Roman" w:hAnsi="Times New Roman"/>
          <w:color w:val="000000"/>
          <w:sz w:val="24"/>
        </w:rPr>
        <w:t>By: TCG Crossover GP II, LLC</w:t>
        <w:br/>
        <w:t>Its General Partner</w:t>
      </w:r>
    </w:p>
    <w:p>
      <w:pPr>
        <w:pStyle w:val="TextBody"/>
        <w:bidi w:val="0"/>
        <w:spacing w:before="0" w:after="240"/>
        <w:ind w:left="4320" w:right="0" w:hanging="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Chen Yu </w:t>
      </w:r>
    </w:p>
    <w:p>
      <w:pPr>
        <w:pStyle w:val="TextBody"/>
        <w:bidi w:val="0"/>
        <w:spacing w:before="0" w:after="240"/>
        <w:ind w:left="4320" w:right="0" w:hanging="0"/>
        <w:jc w:val="left"/>
        <w:rPr>
          <w:rFonts w:ascii="Times New Roman" w:hAnsi="Times New Roman"/>
          <w:sz w:val="20"/>
        </w:rPr>
      </w:pPr>
      <w:r>
        <w:rPr>
          <w:rFonts w:ascii="Times New Roman" w:hAnsi="Times New Roman"/>
          <w:color w:val="000000"/>
          <w:sz w:val="24"/>
        </w:rPr>
        <w:t xml:space="preserve">Name: </w:t>
      </w:r>
      <w:r>
        <w:rPr>
          <w:rFonts w:ascii="Times New Roman" w:hAnsi="Times New Roman"/>
          <w:color w:val="000000"/>
          <w:sz w:val="24"/>
          <w:u w:val="single"/>
        </w:rPr>
        <w:t xml:space="preserve">Chen Yu </w:t>
      </w:r>
    </w:p>
    <w:p>
      <w:pPr>
        <w:pStyle w:val="TextBody"/>
        <w:bidi w:val="0"/>
        <w:spacing w:before="0" w:after="480"/>
        <w:ind w:left="4320" w:right="0" w:hanging="0"/>
        <w:jc w:val="left"/>
        <w:rPr>
          <w:rFonts w:ascii="Times New Roman" w:hAnsi="Times New Roman"/>
          <w:sz w:val="20"/>
        </w:rPr>
      </w:pPr>
      <w:r>
        <w:rPr>
          <w:rFonts w:ascii="Times New Roman" w:hAnsi="Times New Roman"/>
          <w:color w:val="000000"/>
          <w:sz w:val="24"/>
        </w:rPr>
        <w:t>Title:</w:t>
      </w:r>
      <w:r>
        <w:rPr>
          <w:rFonts w:ascii="Times New Roman" w:hAnsi="Times New Roman"/>
          <w:color w:val="000000"/>
          <w:sz w:val="20"/>
          <w:u w:val="single"/>
        </w:rPr>
        <w:t xml:space="preserve"> </w:t>
      </w:r>
      <w:r>
        <w:rPr>
          <w:rFonts w:ascii="Times New Roman" w:hAnsi="Times New Roman"/>
          <w:color w:val="000000"/>
          <w:sz w:val="24"/>
          <w:u w:val="single"/>
        </w:rPr>
        <w:t xml:space="preserve">Managing Member </w:t>
      </w:r>
    </w:p>
    <w:p>
      <w:pPr>
        <w:pStyle w:val="TextBody"/>
        <w:bidi w:val="0"/>
        <w:spacing w:before="0" w:after="480"/>
        <w:ind w:left="4320" w:right="0" w:hanging="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2"/>
        </w:rPr>
        <w:t>[Signature Page to Registration Rights Agreement]</w:t>
      </w:r>
      <w:r>
        <w:rPr>
          <w:rFonts w:ascii="Times New Roman" w:hAnsi="Times New Roman"/>
          <w:color w:val="000000"/>
          <w:sz w:val="20"/>
        </w:rPr>
        <w:t xml:space="preserve"> </w:t>
      </w:r>
      <w:r>
        <w:rPr>
          <w:rFonts w:ascii="sans-serif" w:hAnsi="sans-serif"/>
          <w:color w:val="000000"/>
          <w:sz w:val="14"/>
        </w:rPr>
        <w:t xml:space="preserve">IF " DOCVARIABLE "SWDocIDLocation" </w:t>
      </w:r>
      <w:r>
        <w:rPr>
          <w:rFonts w:ascii="sans-serif" w:hAnsi="sans-serif"/>
          <w:b/>
          <w:color w:val="000000"/>
          <w:sz w:val="14"/>
        </w:rPr>
        <w:t>Error! No document variable supplied.</w:t>
      </w:r>
      <w:r>
        <w:rPr>
          <w:rFonts w:ascii="sans-serif" w:hAnsi="sans-serif"/>
          <w:color w:val="000000"/>
          <w:sz w:val="14"/>
        </w:rPr>
        <w:t>" = "1" "" ""</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center"/>
        <w:rPr>
          <w:rFonts w:ascii="Times New Roman" w:hAnsi="Times New Roman"/>
          <w:b/>
          <w:color w:val="000000"/>
          <w:sz w:val="22"/>
          <w:u w:val="single"/>
        </w:rPr>
      </w:pPr>
      <w:bookmarkStart w:id="23" w:name="toc496215_7"/>
      <w:bookmarkEnd w:id="23"/>
      <w:r>
        <w:rPr>
          <w:rFonts w:ascii="Times New Roman" w:hAnsi="Times New Roman"/>
          <w:b/>
          <w:color w:val="000000"/>
          <w:sz w:val="22"/>
          <w:u w:val="single"/>
        </w:rPr>
        <w:t>Exhibit A</w:t>
      </w:r>
    </w:p>
    <w:p>
      <w:pPr>
        <w:pStyle w:val="TextBody"/>
        <w:bidi w:val="0"/>
        <w:spacing w:before="0" w:after="200"/>
        <w:jc w:val="center"/>
        <w:rPr>
          <w:rFonts w:ascii="Times New Roman" w:hAnsi="Times New Roman"/>
          <w:sz w:val="20"/>
        </w:rPr>
      </w:pPr>
      <w:r>
        <w:rPr>
          <w:rFonts w:ascii="Times New Roman" w:hAnsi="Times New Roman"/>
          <w:b/>
          <w:color w:val="000000"/>
          <w:sz w:val="22"/>
        </w:rPr>
        <w:t>PLAN OF DISTRIBUTION</w:t>
      </w:r>
      <w:r>
        <w:rPr>
          <w:rFonts w:ascii="Times New Roman" w:hAnsi="Times New Roman"/>
          <w:color w:val="000000"/>
          <w:sz w:val="20"/>
        </w:rPr>
        <w:t xml:space="preserve"> </w:t>
      </w:r>
    </w:p>
    <w:p>
      <w:pPr>
        <w:pStyle w:val="TextBody"/>
        <w:bidi w:val="0"/>
        <w:spacing w:before="40" w:after="200"/>
        <w:jc w:val="left"/>
        <w:rPr>
          <w:rFonts w:ascii="Times New Roman" w:hAnsi="Times New Roman"/>
          <w:sz w:val="20"/>
        </w:rPr>
      </w:pPr>
      <w:r>
        <w:rPr>
          <w:rFonts w:ascii="Times New Roman" w:hAnsi="Times New Roman"/>
          <w:color w:val="000000"/>
          <w:sz w:val="22"/>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r>
        <w:rPr>
          <w:rFonts w:ascii="Times New Roman" w:hAnsi="Times New Roman"/>
          <w:color w:val="000000"/>
          <w:sz w:val="20"/>
        </w:rPr>
        <w:t xml:space="preserve"> </w:t>
      </w:r>
    </w:p>
    <w:p>
      <w:pPr>
        <w:pStyle w:val="TextBody"/>
        <w:bidi w:val="0"/>
        <w:spacing w:before="40" w:after="200"/>
        <w:jc w:val="left"/>
        <w:rPr>
          <w:rFonts w:ascii="Times New Roman" w:hAnsi="Times New Roman"/>
          <w:sz w:val="20"/>
        </w:rPr>
      </w:pPr>
      <w:r>
        <w:rPr>
          <w:rFonts w:ascii="Times New Roman" w:hAnsi="Times New Roman"/>
          <w:color w:val="000000"/>
          <w:sz w:val="22"/>
        </w:rPr>
        <w:t>The selling stockholders may use any one or more of the following methods when disposing of shares or interests therein:</w:t>
      </w:r>
      <w:r>
        <w:rPr>
          <w:rFonts w:ascii="Times New Roman" w:hAnsi="Times New Roman"/>
          <w:color w:val="000000"/>
          <w:sz w:val="20"/>
        </w:rPr>
        <w:t xml:space="preserve"> </w:t>
      </w:r>
    </w:p>
    <w:p>
      <w:pPr>
        <w:pStyle w:val="TextBody"/>
        <w:bidi w:val="0"/>
        <w:spacing w:before="40" w:after="120"/>
        <w:jc w:val="left"/>
        <w:rPr>
          <w:color w:val="000000"/>
        </w:rPr>
      </w:pPr>
      <w:r>
        <w:rPr>
          <w:color w:val="000000"/>
        </w:rPr>
        <w:t>•</w:t>
      </w:r>
    </w:p>
    <w:p>
      <w:pPr>
        <w:pStyle w:val="TextBody"/>
        <w:bidi w:val="0"/>
        <w:spacing w:before="40" w:after="120"/>
        <w:jc w:val="left"/>
        <w:rPr>
          <w:rFonts w:ascii="Times New Roman" w:hAnsi="Times New Roman"/>
          <w:color w:val="000000"/>
          <w:sz w:val="22"/>
        </w:rPr>
      </w:pPr>
      <w:r>
        <w:rPr>
          <w:rFonts w:ascii="Times New Roman" w:hAnsi="Times New Roman"/>
          <w:color w:val="000000"/>
          <w:sz w:val="22"/>
        </w:rPr>
        <w:t>distributions to members, partners, stockholders or other equityholders of the selling stockholders;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2"/>
        </w:rPr>
      </w:pPr>
      <w:r>
        <w:rPr>
          <w:rFonts w:ascii="Times New Roman" w:hAnsi="Times New Roman"/>
          <w:color w:val="000000"/>
          <w:sz w:val="22"/>
        </w:rPr>
        <w:t xml:space="preserve">ordinary brokerage transactions and transactions in which the broker-dealer solicits purchasers;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2"/>
        </w:rPr>
      </w:pPr>
      <w:r>
        <w:rPr>
          <w:rFonts w:ascii="Times New Roman" w:hAnsi="Times New Roman"/>
          <w:color w:val="000000"/>
          <w:sz w:val="22"/>
        </w:rPr>
        <w:t xml:space="preserve">block trades in which the broker-dealer will attempt to sell the shares as agent, but may position and resell a portion of the block as principal to facilitate the transaction;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2"/>
        </w:rPr>
      </w:pPr>
      <w:r>
        <w:rPr>
          <w:rFonts w:ascii="Times New Roman" w:hAnsi="Times New Roman"/>
          <w:color w:val="000000"/>
          <w:sz w:val="22"/>
        </w:rPr>
        <w:t xml:space="preserve">purchases by a broker-dealer as principal and resale by the broker-dealer for its account;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2"/>
        </w:rPr>
      </w:pPr>
      <w:r>
        <w:rPr>
          <w:rFonts w:ascii="Times New Roman" w:hAnsi="Times New Roman"/>
          <w:color w:val="000000"/>
          <w:sz w:val="22"/>
        </w:rPr>
        <w:t xml:space="preserve">an exchange distribution in accordance with the rules of the applicable exchange;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2"/>
        </w:rPr>
      </w:pPr>
      <w:r>
        <w:rPr>
          <w:rFonts w:ascii="Times New Roman" w:hAnsi="Times New Roman"/>
          <w:color w:val="000000"/>
          <w:sz w:val="22"/>
        </w:rPr>
        <w:t xml:space="preserve">privately negotiated transactions;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2"/>
        </w:rPr>
      </w:pPr>
      <w:r>
        <w:rPr>
          <w:rFonts w:ascii="Times New Roman" w:hAnsi="Times New Roman"/>
          <w:color w:val="000000"/>
          <w:sz w:val="22"/>
        </w:rPr>
        <w:t xml:space="preserve">short sales and settlement of short sales entered into after the effective date of the registration statement of which this prospectus is a part;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2"/>
        </w:rPr>
      </w:pPr>
      <w:r>
        <w:rPr>
          <w:rFonts w:ascii="Times New Roman" w:hAnsi="Times New Roman"/>
          <w:color w:val="000000"/>
          <w:sz w:val="22"/>
        </w:rPr>
        <w:t xml:space="preserve">through the writing or settlement of options or other hedging transactions, whether through an options exchange or otherwise;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2"/>
        </w:rPr>
      </w:pPr>
      <w:r>
        <w:rPr>
          <w:rFonts w:ascii="Times New Roman" w:hAnsi="Times New Roman"/>
          <w:color w:val="000000"/>
          <w:sz w:val="22"/>
        </w:rPr>
        <w:t xml:space="preserve">broker-dealers may agree with the selling stockholders to sell a specified number of such shares at a stipulated price per share;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2"/>
        </w:rPr>
      </w:pPr>
      <w:r>
        <w:rPr>
          <w:rFonts w:ascii="Times New Roman" w:hAnsi="Times New Roman"/>
          <w:color w:val="000000"/>
          <w:sz w:val="22"/>
        </w:rPr>
        <w:t xml:space="preserve">a combination of any such methods of sale; and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2"/>
        </w:rPr>
      </w:pPr>
      <w:r>
        <w:rPr>
          <w:rFonts w:ascii="Times New Roman" w:hAnsi="Times New Roman"/>
          <w:color w:val="000000"/>
          <w:sz w:val="22"/>
        </w:rPr>
        <w:t xml:space="preserve">any other method permitted pursuant to applicable law. </w:t>
      </w:r>
    </w:p>
    <w:p>
      <w:pPr>
        <w:pStyle w:val="TextBody"/>
        <w:bidi w:val="0"/>
        <w:spacing w:before="120" w:after="200"/>
        <w:jc w:val="left"/>
        <w:rPr>
          <w:rFonts w:ascii="Times New Roman" w:hAnsi="Times New Roman"/>
          <w:sz w:val="20"/>
        </w:rPr>
      </w:pPr>
      <w:r>
        <w:rPr>
          <w:rFonts w:ascii="Times New Roman" w:hAnsi="Times New Roman"/>
          <w:color w:val="000000"/>
          <w:sz w:val="22"/>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00"/>
        <w:jc w:val="left"/>
        <w:rPr>
          <w:rFonts w:ascii="Times New Roman" w:hAnsi="Times New Roman"/>
          <w:sz w:val="20"/>
        </w:rPr>
      </w:pPr>
      <w:r>
        <w:rPr>
          <w:rFonts w:ascii="Times New Roman" w:hAnsi="Times New Roman"/>
          <w:color w:val="000000"/>
          <w:sz w:val="22"/>
        </w:rPr>
        <w:t>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stockholders for purposes of this prospectus.</w:t>
      </w:r>
      <w:r>
        <w:rPr>
          <w:rFonts w:ascii="Times New Roman" w:hAnsi="Times New Roman"/>
          <w:color w:val="000000"/>
          <w:sz w:val="20"/>
        </w:rPr>
        <w:t xml:space="preserve"> </w:t>
      </w:r>
    </w:p>
    <w:p>
      <w:pPr>
        <w:pStyle w:val="TextBody"/>
        <w:bidi w:val="0"/>
        <w:spacing w:before="40" w:after="200"/>
        <w:jc w:val="left"/>
        <w:rPr>
          <w:rFonts w:ascii="Times New Roman" w:hAnsi="Times New Roman"/>
          <w:sz w:val="20"/>
        </w:rPr>
      </w:pPr>
      <w:r>
        <w:rPr>
          <w:rFonts w:ascii="Times New Roman" w:hAnsi="Times New Roman"/>
          <w:color w:val="000000"/>
          <w:sz w:val="22"/>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r>
        <w:rPr>
          <w:rFonts w:ascii="Times New Roman" w:hAnsi="Times New Roman"/>
          <w:color w:val="000000"/>
          <w:sz w:val="20"/>
        </w:rPr>
        <w:t xml:space="preserve"> </w:t>
      </w:r>
    </w:p>
    <w:p>
      <w:pPr>
        <w:pStyle w:val="TextBody"/>
        <w:bidi w:val="0"/>
        <w:spacing w:before="40" w:after="200"/>
        <w:jc w:val="left"/>
        <w:rPr>
          <w:rFonts w:ascii="Times New Roman" w:hAnsi="Times New Roman"/>
          <w:sz w:val="20"/>
        </w:rPr>
      </w:pPr>
      <w:r>
        <w:rPr>
          <w:rFonts w:ascii="Times New Roman" w:hAnsi="Times New Roman"/>
          <w:color w:val="000000"/>
          <w:sz w:val="22"/>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r>
        <w:rPr>
          <w:rFonts w:ascii="Times New Roman" w:hAnsi="Times New Roman"/>
          <w:color w:val="000000"/>
          <w:sz w:val="20"/>
        </w:rPr>
        <w:t xml:space="preserve"> </w:t>
      </w:r>
    </w:p>
    <w:p>
      <w:pPr>
        <w:pStyle w:val="TextBody"/>
        <w:bidi w:val="0"/>
        <w:spacing w:before="40" w:after="200"/>
        <w:jc w:val="left"/>
        <w:rPr>
          <w:rFonts w:ascii="Times New Roman" w:hAnsi="Times New Roman"/>
          <w:sz w:val="20"/>
        </w:rPr>
      </w:pPr>
      <w:r>
        <w:rPr>
          <w:rFonts w:ascii="Times New Roman" w:hAnsi="Times New Roman"/>
          <w:color w:val="000000"/>
          <w:sz w:val="22"/>
        </w:rPr>
        <w:t>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w:t>
      </w:r>
      <w:r>
        <w:rPr>
          <w:rFonts w:ascii="Times New Roman" w:hAnsi="Times New Roman"/>
          <w:color w:val="000000"/>
          <w:sz w:val="20"/>
        </w:rPr>
        <w:t xml:space="preserve"> </w:t>
      </w:r>
    </w:p>
    <w:p>
      <w:pPr>
        <w:pStyle w:val="TextBody"/>
        <w:bidi w:val="0"/>
        <w:spacing w:before="40" w:after="200"/>
        <w:jc w:val="left"/>
        <w:rPr>
          <w:rFonts w:ascii="Times New Roman" w:hAnsi="Times New Roman"/>
          <w:sz w:val="20"/>
        </w:rPr>
      </w:pPr>
      <w:r>
        <w:rPr>
          <w:rFonts w:ascii="Times New Roman" w:hAnsi="Times New Roman"/>
          <w:color w:val="000000"/>
          <w:sz w:val="22"/>
        </w:rPr>
        <w:t>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r>
        <w:rPr>
          <w:rFonts w:ascii="Times New Roman" w:hAnsi="Times New Roman"/>
          <w:color w:val="000000"/>
          <w:sz w:val="20"/>
        </w:rPr>
        <w:t xml:space="preserve"> </w:t>
      </w:r>
    </w:p>
    <w:p>
      <w:pPr>
        <w:pStyle w:val="TextBody"/>
        <w:bidi w:val="0"/>
        <w:spacing w:before="40" w:after="200"/>
        <w:jc w:val="left"/>
        <w:rPr>
          <w:rFonts w:ascii="Times New Roman" w:hAnsi="Times New Roman"/>
          <w:sz w:val="20"/>
        </w:rPr>
      </w:pPr>
      <w:r>
        <w:rPr>
          <w:rFonts w:ascii="Times New Roman" w:hAnsi="Times New Roman"/>
          <w:color w:val="000000"/>
          <w:sz w:val="22"/>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r>
        <w:rPr>
          <w:rFonts w:ascii="Times New Roman" w:hAnsi="Times New Roman"/>
          <w:color w:val="000000"/>
          <w:sz w:val="20"/>
        </w:rPr>
        <w:t xml:space="preserve"> </w:t>
      </w:r>
    </w:p>
    <w:p>
      <w:pPr>
        <w:pStyle w:val="TextBody"/>
        <w:bidi w:val="0"/>
        <w:spacing w:before="40" w:after="200"/>
        <w:jc w:val="left"/>
        <w:rPr>
          <w:rFonts w:ascii="Times New Roman" w:hAnsi="Times New Roman"/>
          <w:sz w:val="20"/>
        </w:rPr>
      </w:pPr>
      <w:r>
        <w:rPr>
          <w:rFonts w:ascii="Times New Roman" w:hAnsi="Times New Roman"/>
          <w:color w:val="000000"/>
          <w:sz w:val="22"/>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00"/>
        <w:jc w:val="left"/>
        <w:rPr>
          <w:rFonts w:ascii="Times New Roman" w:hAnsi="Times New Roman"/>
          <w:sz w:val="20"/>
        </w:rPr>
      </w:pPr>
      <w:r>
        <w:rPr>
          <w:rFonts w:ascii="Times New Roman" w:hAnsi="Times New Roman"/>
          <w:color w:val="000000"/>
          <w:sz w:val="22"/>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r>
        <w:rPr>
          <w:rFonts w:ascii="Times New Roman" w:hAnsi="Times New Roman"/>
          <w:color w:val="000000"/>
          <w:sz w:val="20"/>
        </w:rPr>
        <w:t xml:space="preserve"> </w:t>
      </w:r>
    </w:p>
    <w:p>
      <w:pPr>
        <w:pStyle w:val="TextBody"/>
        <w:bidi w:val="0"/>
        <w:spacing w:before="40" w:after="200"/>
        <w:jc w:val="left"/>
        <w:rPr>
          <w:rFonts w:ascii="Times New Roman" w:hAnsi="Times New Roman"/>
          <w:sz w:val="20"/>
        </w:rPr>
      </w:pPr>
      <w:r>
        <w:rPr>
          <w:rFonts w:ascii="Times New Roman" w:hAnsi="Times New Roman"/>
          <w:color w:val="000000"/>
          <w:sz w:val="22"/>
        </w:rPr>
        <w:t>We have agreed to indemnify the selling stockholders against liabilities, including liabilities under the Securities Act and state securities laws, relating to the registration of the shares offered by this prospectus.</w:t>
      </w:r>
      <w:r>
        <w:rPr>
          <w:rFonts w:ascii="Times New Roman" w:hAnsi="Times New Roman"/>
          <w:color w:val="000000"/>
          <w:sz w:val="20"/>
        </w:rPr>
        <w:t xml:space="preserve"> </w:t>
      </w:r>
    </w:p>
    <w:p>
      <w:pPr>
        <w:pStyle w:val="TextBody"/>
        <w:bidi w:val="0"/>
        <w:spacing w:before="40" w:after="200"/>
        <w:jc w:val="left"/>
        <w:rPr>
          <w:rFonts w:ascii="Times New Roman" w:hAnsi="Times New Roman"/>
          <w:sz w:val="20"/>
        </w:rPr>
      </w:pPr>
      <w:r>
        <w:rPr>
          <w:rFonts w:ascii="Times New Roman" w:hAnsi="Times New Roman"/>
          <w:color w:val="000000"/>
          <w:sz w:val="22"/>
        </w:rPr>
        <w:t>We have agreed with the selling stockholders to use commercially reasonable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and (ii)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Exhibit B</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Investor Questionnaire</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bookmarkStart w:id="24" w:name="vor-ex31_1.htm"/>
      <w:bookmarkStart w:id="25" w:name="ksvorex31_1"/>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Jean-Paul Kress,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have reviewed this Quarterly Report on Form 10-Q of Vor Biopharma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677" w:type="dxa"/>
        <w:jc w:val="left"/>
        <w:tblInd w:w="0" w:type="dxa"/>
        <w:tblLayout w:type="fixed"/>
        <w:tblCellMar>
          <w:top w:w="28" w:type="dxa"/>
          <w:left w:w="28" w:type="dxa"/>
          <w:bottom w:w="28" w:type="dxa"/>
          <w:right w:w="28" w:type="dxa"/>
        </w:tblCellMar>
      </w:tblPr>
      <w:tblGrid>
        <w:gridCol w:w="1951"/>
        <w:gridCol w:w="109"/>
        <w:gridCol w:w="406"/>
        <w:gridCol w:w="321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Jean-Paul Kress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Jean-Paul Kress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vor-ex31_2.htm"/>
      <w:bookmarkStart w:id="27" w:name="ksvorex31_2"/>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Sandesh Mahatme,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have reviewed this Quarterly Report on Form 10-Q of Vor Biopharma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777" w:type="dxa"/>
        <w:jc w:val="left"/>
        <w:tblInd w:w="0" w:type="dxa"/>
        <w:tblLayout w:type="fixed"/>
        <w:tblCellMar>
          <w:top w:w="28" w:type="dxa"/>
          <w:left w:w="28" w:type="dxa"/>
          <w:bottom w:w="28" w:type="dxa"/>
          <w:right w:w="28" w:type="dxa"/>
        </w:tblCellMar>
      </w:tblPr>
      <w:tblGrid>
        <w:gridCol w:w="1951"/>
        <w:gridCol w:w="109"/>
        <w:gridCol w:w="406"/>
        <w:gridCol w:w="531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Sandesh Mahatme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Sandesh Mahatme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vor-ex32_1.htm"/>
      <w:bookmarkStart w:id="29" w:name="ksvorex32_1"/>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Vor Biopharma Inc. (the “Company”) for the period ended June 30, 2026, as filed with the Securities and Exchange Commission on the date hereof (the “Report”), each of the undersigned officers of the Company hereby certifies, pursuant to 18 U.S.C. § 1350, as adopted pursuant to § 906 of the Sarbanes-Oxley Act of 2002, that to his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677" w:type="dxa"/>
        <w:jc w:val="left"/>
        <w:tblInd w:w="0" w:type="dxa"/>
        <w:tblLayout w:type="fixed"/>
        <w:tblCellMar>
          <w:top w:w="28" w:type="dxa"/>
          <w:left w:w="28" w:type="dxa"/>
          <w:bottom w:w="28" w:type="dxa"/>
          <w:right w:w="28" w:type="dxa"/>
        </w:tblCellMar>
      </w:tblPr>
      <w:tblGrid>
        <w:gridCol w:w="1951"/>
        <w:gridCol w:w="109"/>
        <w:gridCol w:w="406"/>
        <w:gridCol w:w="321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Jean-Paul Kress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Jean-Paul Kress</w:t>
            </w:r>
          </w:p>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tbl>
      <w:tblPr>
        <w:tblW w:w="7777" w:type="dxa"/>
        <w:jc w:val="left"/>
        <w:tblInd w:w="0" w:type="dxa"/>
        <w:tblLayout w:type="fixed"/>
        <w:tblCellMar>
          <w:top w:w="28" w:type="dxa"/>
          <w:left w:w="28" w:type="dxa"/>
          <w:bottom w:w="28" w:type="dxa"/>
          <w:right w:w="28" w:type="dxa"/>
        </w:tblCellMar>
      </w:tblPr>
      <w:tblGrid>
        <w:gridCol w:w="1951"/>
        <w:gridCol w:w="109"/>
        <w:gridCol w:w="406"/>
        <w:gridCol w:w="531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Sandesh Mahatme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Sandesh Mahatme</w:t>
            </w:r>
          </w:p>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 and Principal Accounting Officer</w:t>
            </w:r>
            <w:r>
              <w:rPr>
                <w:rFonts w:ascii="Times New Roman" w:hAnsi="Times New Roman"/>
                <w:color w:val="000000"/>
                <w:sz w:val="20"/>
              </w:rPr>
              <w:t>)</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This certification accompanies the Form 10-Q to which it relates, is not deemed filed with the Securities and Exchange Commission and is not to be incorporated by reference into any filing of Vor Biopharma Inc. under the Securities Act of 1933, as amended, or the Securities Exchange Act of 1934, as amended (whether made before or after the date of this Form 10-Q),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7229/000119312521034387/d117998dex31.htm" TargetMode="External"/><Relationship Id="rId3" Type="http://schemas.openxmlformats.org/officeDocument/2006/relationships/hyperlink" Target="https://www.sec.gov/Archives/edgar/data/1817229/000119312525125833/d95113dex31.htm" TargetMode="External"/><Relationship Id="rId4" Type="http://schemas.openxmlformats.org/officeDocument/2006/relationships/hyperlink" Target="https://www.sec.gov/Archives/edgar/data/1817229/000119312525205553/d945826dex31.htm" TargetMode="External"/><Relationship Id="rId5" Type="http://schemas.openxmlformats.org/officeDocument/2006/relationships/hyperlink" Target="https://www.sec.gov/Archives/edgar/data/1817229/000119312521034387/d117998dex32.htm" TargetMode="External"/><Relationship Id="rId6" Type="http://schemas.openxmlformats.org/officeDocument/2006/relationships/hyperlink" Target="https://www.sec.gov/Archives/edgar/data/1817229/000119312526130451/vor-ex10_15.htm" TargetMode="External"/><Relationship Id="rId7" Type="http://schemas.openxmlformats.org/officeDocument/2006/relationships/hyperlink" Target="https://www.sec.gov/Archives/edgar/data/1817229/000119312526269431/vor-ex10_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79625</Words>
  <Characters>440305</Characters>
  <CharactersWithSpaces>520339</CharactersWithSpaces>
  <Paragraphs>6834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