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5,676,370.00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5,676,370.00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5,676,370.00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5,676,370.00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5,676,370.00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5,676,370.00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5,676,370.00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5,676,370.00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5,676,370.00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5,676,370.00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5,676,370.00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5,676,370.00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5,676,370.00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5,676,370.00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5,676,370.00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5,676,370.00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5,676,370.00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5,676,370.00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5,676,370.00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5,676,370.00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5,676,370.00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 Suite 1350, Boston, MA, 02116.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13G/A.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 The Reporting Persons' ownership of the Issuer's securities consists of (i) 642,031 shares of the Issuer's common stock and pre-funded warrants (the "Pre-Funded Warrants") exercisable for up to 792,983 shares of common stock held by VHCP III, (ii) 64,214 shares of the Issuer's common stock and Pre-Funded Warrants exercisable for up to 79,264 shares of common stock held by VHCP Co-Investment III, and (iii) 2,335,474 shares of the Issuer's common stock and Pre-Funded Warrants exercisable for up to 2,529,653 shares of common stock held by VHCP EG. The Pre-Funded Warrants contain a provision (the "Beneficial Ownership Blocker"), which precludes the exercise of the Pre-Funded Warrants to the extent that, following exercise, VHCP III, VHCP Co-Investment III and VHCP EG, together with their affiliates and other attribution parties, would own more than 9.99% of the outstanding shares of common stock. VHCP III, VHCP Co-Investment III and VHCP EG are currently prohibited from exercising the Pre-Funded Warrants to the extent that such exercise would result in beneficial ownership of more than 5,676,370 shares of common stock.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Pre-Funded Warrants, each Reporting Person's beneficial ownership percentage was 9.99% as of June 30, 2026. Such percentage is based upon the sum of (i) 54,185,877 shares of the Issuer's common stock outstanding as of May 7, 2026, as reported in the Issuer's Quarterly Report on Form 10-Q filed with the Securities and Exchange Commission (the "SEC") on May 13, 2026, and (ii) 2,634,651 shares of common stock issuable upon the exercise of the Pre-Funded Warrants. Due to field limitations of the EDGAR filing system, the percentage listed in row 11 of each Reporting Person's cover page has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1"/>
        <w:gridCol w:w="4384"/>
      </w:tblGrid>
      <w:tr>
        <w:trPr/>
        <w:tc>
          <w:tcPr>
            <w:tcW w:w="58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Sherman G. Souther</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 xml:space="preserve">By Sherman G. Souther, Attorney-in-fact </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Nimish Shah (incorporated by reference to Exhibit 24.1 to Schedule 13G filed on September 25, 2025) Exhibit 24.2 Power of Attorney for Bong Koh (incorporated by reference to Exhibit 24.2 to Schedule 13G filed on September 25, 2025) Exhibit 99.1 Joint Filing Agreement (incorporated by reference to Exhibit 99.1 to Schedule 13G filed on September 25, 2025)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2248</Words>
  <Characters>11641</Characters>
  <CharactersWithSpaces>13764</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