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607060</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47.8pt" to="577.5pt,47.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619125</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48.75pt" to="577.5pt,48.75pt" o:allowincell="f" strokecolor="#000000" strokeweight="0.4799pt">
                <w10:wrap anchorx="page" anchory="page"/>
              </v:line>
            </w:pict>
          </mc:Fallback>
        </mc:AlternateContent>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42545</wp:posOffset>
                </wp:positionV>
                <wp:extent cx="14097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35pt" to="325.5pt,3.35pt" o:allowincell="f" strokecolor="#000000" strokeweight="0.9599pt"/>
            </w:pict>
          </mc:Fallback>
        </mc:AlternateConten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74295</wp:posOffset>
                </wp:positionV>
                <wp:extent cx="14097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5.85pt" to="325.5pt,5.85pt" o:allowincell="f" strokecolor="#000000" strokeweight="0.96pt"/>
            </w:pict>
          </mc:Fallback>
        </mc:AlternateConten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6" w:lineRule="exact"/>
        <w:rPr>
          <w:sz w:val="24"/>
          <w:szCs w:val="24"/>
          <w:color w:val="auto"/>
        </w:rPr>
      </w:pPr>
    </w:p>
    <w:p>
      <w:pPr>
        <w:ind w:left="440" w:hanging="426"/>
        <w:spacing w:after="0"/>
        <w:tabs>
          <w:tab w:leader="none" w:pos="440" w:val="left"/>
        </w:tabs>
        <w:numPr>
          <w:ilvl w:val="0"/>
          <w:numId w:val="1"/>
        </w:numPr>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4" w:lineRule="exact"/>
        <w:rPr>
          <w:rFonts w:ascii="Segoe UI Symbol" w:cs="Segoe UI Symbol" w:eastAsia="Segoe UI Symbol" w:hAnsi="Segoe UI Symbol"/>
          <w:sz w:val="20"/>
          <w:szCs w:val="20"/>
          <w:b w:val="1"/>
          <w:bCs w:val="1"/>
          <w:color w:val="auto"/>
        </w:rPr>
      </w:pPr>
    </w:p>
    <w:p>
      <w:pPr>
        <w:ind w:left="3520"/>
        <w:spacing w:after="0"/>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2" w:lineRule="exact"/>
        <w:rPr>
          <w:rFonts w:ascii="Segoe UI Symbol" w:cs="Segoe UI Symbol" w:eastAsia="Segoe UI Symbol" w:hAnsi="Segoe UI Symbol"/>
          <w:sz w:val="20"/>
          <w:szCs w:val="20"/>
          <w:b w:val="1"/>
          <w:bCs w:val="1"/>
          <w:color w:val="auto"/>
        </w:rPr>
      </w:pPr>
    </w:p>
    <w:p>
      <w:pPr>
        <w:ind w:left="5240"/>
        <w:spacing w:after="0"/>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OR</w:t>
      </w:r>
    </w:p>
    <w:p>
      <w:pPr>
        <w:ind w:left="440" w:hanging="426"/>
        <w:spacing w:after="0" w:line="185" w:lineRule="auto"/>
        <w:tabs>
          <w:tab w:leader="none" w:pos="440" w:val="left"/>
        </w:tabs>
        <w:numPr>
          <w:ilvl w:val="0"/>
          <w:numId w:val="2"/>
        </w:numPr>
        <w:rPr>
          <w:rFonts w:ascii="Segoe UI Symbol" w:cs="Segoe UI Symbol" w:eastAsia="Segoe UI Symbol" w:hAnsi="Segoe UI Symbol"/>
          <w:sz w:val="29"/>
          <w:szCs w:val="29"/>
          <w:b w:val="1"/>
          <w:bCs w:val="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440"/>
        <w:spacing w:after="0"/>
        <w:tabs>
          <w:tab w:leader="none" w:pos="524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001-39979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74295</wp:posOffset>
                </wp:positionV>
                <wp:extent cx="14097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5.85pt" to="325.5pt,5.85pt" o:allowincell="f" strokecolor="#000000" strokeweight="0.9599pt"/>
            </w:pict>
          </mc:Fallback>
        </mc:AlternateConten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VOR BIOPHARMA INC.</w:t>
      </w:r>
    </w:p>
    <w:p>
      <w:pPr>
        <w:sectPr>
          <w:pgSz w:w="12240" w:h="15840" w:orient="portrait"/>
          <w:cols w:equalWidth="0" w:num="1">
            <w:col w:w="10800"/>
          </w:cols>
          <w:pgMar w:left="720" w:top="987" w:right="720" w:bottom="1440" w:gutter="0" w:footer="0" w:header="0"/>
        </w:sectPr>
      </w:pPr>
    </w:p>
    <w:p>
      <w:pPr>
        <w:spacing w:after="0" w:line="6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57785</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4.55pt" to="325.5pt,4.55pt" o:allowincell="f" strokecolor="#000000" strokeweight="0.96pt"/>
            </w:pict>
          </mc:Fallback>
        </mc:AlternateContent>
      </w:r>
    </w:p>
    <w:p>
      <w:pPr>
        <w:spacing w:after="0" w:line="13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81-1591163</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4" w:lineRule="exact"/>
        <w:rPr>
          <w:sz w:val="24"/>
          <w:szCs w:val="24"/>
          <w:color w:val="auto"/>
        </w:rPr>
      </w:pPr>
    </w:p>
    <w:p>
      <w:pPr>
        <w:sectPr>
          <w:pgSz w:w="12240" w:h="15840" w:orient="portrait"/>
          <w:cols w:equalWidth="0" w:num="2">
            <w:col w:w="7160" w:space="380"/>
            <w:col w:w="3260"/>
          </w:cols>
          <w:pgMar w:left="720" w:top="987" w:right="720" w:bottom="1440" w:gutter="0" w:footer="0" w:header="0"/>
          <w:type w:val="continuous"/>
        </w:sectPr>
      </w:pPr>
    </w:p>
    <w:tbl>
      <w:tblPr>
        <w:tblLayout w:type="fixed"/>
        <w:tblInd w:w="1540" w:type="dxa"/>
        <w:tblCellMar>
          <w:top w:w="0" w:type="dxa"/>
          <w:left w:w="0" w:type="dxa"/>
          <w:bottom w:w="0" w:type="dxa"/>
          <w:right w:w="0" w:type="dxa"/>
        </w:tblCellMar>
      </w:tblPr>
      <w:tr>
        <w:trPr>
          <w:trHeight w:val="246"/>
        </w:trPr>
        <w:tc>
          <w:tcPr>
            <w:tcW w:w="426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rPr>
              <w:t>500 Boylston Street</w:t>
            </w:r>
          </w:p>
        </w:tc>
        <w:tc>
          <w:tcPr>
            <w:tcW w:w="2620" w:type="dxa"/>
            <w:vAlign w:val="bottom"/>
          </w:tcPr>
          <w:p>
            <w:pPr>
              <w:spacing w:after="0"/>
              <w:rPr>
                <w:sz w:val="21"/>
                <w:szCs w:val="21"/>
                <w:color w:val="auto"/>
              </w:rPr>
            </w:pPr>
          </w:p>
        </w:tc>
      </w:tr>
      <w:tr>
        <w:trPr>
          <w:trHeight w:val="228"/>
        </w:trPr>
        <w:tc>
          <w:tcPr>
            <w:tcW w:w="426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Suite 1350</w:t>
            </w:r>
          </w:p>
        </w:tc>
        <w:tc>
          <w:tcPr>
            <w:tcW w:w="2620" w:type="dxa"/>
            <w:vAlign w:val="bottom"/>
          </w:tcPr>
          <w:p>
            <w:pPr>
              <w:spacing w:after="0"/>
              <w:rPr>
                <w:sz w:val="19"/>
                <w:szCs w:val="19"/>
                <w:color w:val="auto"/>
              </w:rPr>
            </w:pPr>
          </w:p>
        </w:tc>
      </w:tr>
      <w:tr>
        <w:trPr>
          <w:trHeight w:val="212"/>
        </w:trPr>
        <w:tc>
          <w:tcPr>
            <w:tcW w:w="426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262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02116</w:t>
            </w:r>
          </w:p>
        </w:tc>
      </w:tr>
      <w:tr>
        <w:trPr>
          <w:trHeight w:val="193"/>
        </w:trPr>
        <w:tc>
          <w:tcPr>
            <w:tcW w:w="4260" w:type="dxa"/>
            <w:vAlign w:val="bottom"/>
          </w:tcPr>
          <w:p>
            <w:pPr>
              <w:jc w:val="center"/>
              <w:ind w:right="18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655-6580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60325</wp:posOffset>
                </wp:positionV>
                <wp:extent cx="14097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4.75pt" to="325.5pt,4.75pt" o:allowincell="f" strokecolor="#000000" strokeweight="0.9599pt"/>
            </w:pict>
          </mc:Fallback>
        </mc:AlternateConten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4320" w:type="dxa"/>
            <w:vAlign w:val="bottom"/>
          </w:tcPr>
          <w:p>
            <w:pPr>
              <w:spacing w:after="0"/>
              <w:rPr>
                <w:sz w:val="16"/>
                <w:szCs w:val="16"/>
                <w:color w:val="auto"/>
              </w:rPr>
            </w:pPr>
          </w:p>
        </w:tc>
      </w:tr>
      <w:tr>
        <w:trPr>
          <w:trHeight w:val="203"/>
        </w:trPr>
        <w:tc>
          <w:tcPr>
            <w:tcW w:w="43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VOR</w:t>
            </w:r>
          </w:p>
        </w:tc>
        <w:tc>
          <w:tcPr>
            <w:tcW w:w="10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left="620" w:right="2840"/>
        <w:spacing w:after="0" w:line="310"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260" w:firstLine="612"/>
        <w:spacing w:after="0" w:line="26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80" w:firstLine="612"/>
        <w:spacing w:after="0" w:line="26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319"/>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80" w:type="dxa"/>
            <w:vAlign w:val="bottom"/>
          </w:tcPr>
          <w:p>
            <w:pPr>
              <w:ind w:left="460"/>
              <w:spacing w:after="0"/>
              <w:rPr>
                <w:sz w:val="20"/>
                <w:szCs w:val="20"/>
                <w:color w:val="auto"/>
              </w:rPr>
            </w:pPr>
            <w:r>
              <w:rPr>
                <w:rFonts w:ascii="Segoe UI Symbol" w:cs="Segoe UI Symbol" w:eastAsia="Segoe UI Symbol" w:hAnsi="Segoe UI Symbol"/>
                <w:sz w:val="14"/>
                <w:szCs w:val="14"/>
                <w:color w:val="auto"/>
              </w:rPr>
              <w:t>☐</w:t>
            </w:r>
          </w:p>
        </w:tc>
        <w:tc>
          <w:tcPr>
            <w:tcW w:w="490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rPr>
                <w:sz w:val="20"/>
                <w:szCs w:val="20"/>
                <w:color w:val="auto"/>
              </w:rPr>
            </w:pPr>
            <w:r>
              <w:rPr>
                <w:rFonts w:ascii="Segoe UI Symbol" w:cs="Segoe UI Symbol" w:eastAsia="Segoe UI Symbol" w:hAnsi="Segoe UI Symbol"/>
                <w:sz w:val="14"/>
                <w:szCs w:val="14"/>
                <w:color w:val="auto"/>
                <w:w w:val="82"/>
              </w:rPr>
              <w:t>☐</w:t>
            </w:r>
          </w:p>
        </w:tc>
      </w:tr>
      <w:tr>
        <w:trPr>
          <w:trHeight w:val="395"/>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80" w:type="dxa"/>
            <w:vAlign w:val="bottom"/>
          </w:tcPr>
          <w:p>
            <w:pPr>
              <w:ind w:left="460"/>
              <w:spacing w:after="0"/>
              <w:rPr>
                <w:sz w:val="20"/>
                <w:szCs w:val="20"/>
                <w:color w:val="auto"/>
              </w:rPr>
            </w:pPr>
            <w:r>
              <w:rPr>
                <w:rFonts w:ascii="Segoe UI Symbol" w:cs="Segoe UI Symbol" w:eastAsia="Segoe UI Symbol" w:hAnsi="Segoe UI Symbol"/>
                <w:sz w:val="14"/>
                <w:szCs w:val="14"/>
                <w:color w:val="auto"/>
              </w:rPr>
              <w:t>☒</w:t>
            </w:r>
          </w:p>
        </w:tc>
        <w:tc>
          <w:tcPr>
            <w:tcW w:w="490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rPr>
                <w:sz w:val="20"/>
                <w:szCs w:val="20"/>
                <w:color w:val="auto"/>
              </w:rPr>
            </w:pPr>
            <w:r>
              <w:rPr>
                <w:rFonts w:ascii="Segoe UI Symbol" w:cs="Segoe UI Symbol" w:eastAsia="Segoe UI Symbol" w:hAnsi="Segoe UI Symbol"/>
                <w:sz w:val="14"/>
                <w:szCs w:val="14"/>
                <w:color w:val="auto"/>
                <w:w w:val="82"/>
              </w:rPr>
              <w:t>☒</w:t>
            </w:r>
          </w:p>
        </w:tc>
      </w:tr>
      <w:tr>
        <w:trPr>
          <w:trHeight w:val="376"/>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90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rPr>
                <w:sz w:val="20"/>
                <w:szCs w:val="20"/>
                <w:color w:val="auto"/>
              </w:rPr>
            </w:pPr>
            <w:r>
              <w:rPr>
                <w:rFonts w:ascii="Segoe UI Symbol" w:cs="Segoe UI Symbol" w:eastAsia="Segoe UI Symbol" w:hAnsi="Segoe UI Symbol"/>
                <w:sz w:val="14"/>
                <w:szCs w:val="14"/>
                <w:color w:val="auto"/>
                <w:w w:val="82"/>
              </w:rPr>
              <w:t>☒</w:t>
            </w:r>
          </w:p>
        </w:tc>
      </w:tr>
    </w:tbl>
    <w:p>
      <w:pPr>
        <w:ind w:right="440" w:firstLine="612"/>
        <w:spacing w:after="0" w:line="278"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100" w:firstLine="612"/>
        <w:spacing w:after="0" w:line="26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ind w:right="140" w:firstLine="612"/>
        <w:spacing w:after="0" w:line="26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100" w:firstLine="612"/>
        <w:spacing w:after="0" w:line="26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45" w:lineRule="exact"/>
        <w:rPr>
          <w:sz w:val="24"/>
          <w:szCs w:val="24"/>
          <w:color w:val="auto"/>
        </w:rPr>
      </w:pPr>
    </w:p>
    <w:p>
      <w:pPr>
        <w:ind w:right="40" w:firstLine="612"/>
        <w:spacing w:after="0" w:line="250"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registrant's common stock, $0.0001 par value per share (“Common Stock”), held by non-affiliates of the registrant was approximately $76.1 million based upon the closing price of the Common Stock on June 30, 2025.</w:t>
      </w:r>
    </w:p>
    <w:p>
      <w:pPr>
        <w:spacing w:after="0" w:line="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23, 2026 was 48,847,504.</w:t>
      </w:r>
    </w:p>
    <w:p>
      <w:pPr>
        <w:spacing w:after="0" w:line="3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3" w:lineRule="exact"/>
        <w:rPr>
          <w:sz w:val="24"/>
          <w:szCs w:val="24"/>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Portions of the registrant’s Proxy Statement for its 2026 Annual Meeting of Stockholders, to be filed with the Securities and Exchange Commission no later than 120 days after December 31, 2025, are incorporated by reference in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48260</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8pt" to="541.5pt,3.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36195</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85pt" to="541.5pt,2.85pt" o:allowincell="f" strokecolor="#000000" strokeweight="0.4799pt"/>
            </w:pict>
          </mc:Fallback>
        </mc:AlternateContent>
      </w:r>
    </w:p>
    <w:p>
      <w:pPr>
        <w:sectPr>
          <w:pgSz w:w="12240" w:h="15840" w:orient="portrait"/>
          <w:cols w:equalWidth="0" w:num="1">
            <w:col w:w="10800"/>
          </w:cols>
          <w:pgMar w:left="720" w:top="987"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80" w:type="dxa"/>
            <w:vAlign w:val="bottom"/>
            <w:gridSpan w:val="11"/>
          </w:tcPr>
          <w:p>
            <w:pPr>
              <w:ind w:left="7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0000FF"/>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09"/>
        </w:trPr>
        <w:tc>
          <w:tcPr>
            <w:tcW w:w="940" w:type="dxa"/>
            <w:vAlign w:val="bottom"/>
            <w:gridSpan w:val="5"/>
            <w:vMerge w:val="continue"/>
          </w:tcPr>
          <w:p>
            <w:pPr>
              <w:spacing w:after="0"/>
              <w:rPr>
                <w:sz w:val="18"/>
                <w:szCs w:val="18"/>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Business</w:t>
            </w:r>
          </w:p>
        </w:tc>
        <w:tc>
          <w:tcPr>
            <w:tcW w:w="7040" w:type="dxa"/>
            <w:vAlign w:val="bottom"/>
            <w:gridSpan w:val="22"/>
            <w:vMerge w:val="restart"/>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0"/>
        </w:trPr>
        <w:tc>
          <w:tcPr>
            <w:tcW w:w="680" w:type="dxa"/>
            <w:vAlign w:val="bottom"/>
            <w:tcBorders>
              <w:top w:val="single" w:sz="8" w:color="0000FF"/>
            </w:tcBorders>
            <w:gridSpan w:val="2"/>
          </w:tcPr>
          <w:p>
            <w:pPr>
              <w:ind w:left="140"/>
              <w:spacing w:after="0" w:line="225" w:lineRule="exact"/>
              <w:rPr>
                <w:sz w:val="20"/>
                <w:szCs w:val="20"/>
                <w:color w:val="auto"/>
              </w:rPr>
            </w:pPr>
            <w:r>
              <w:rPr>
                <w:rFonts w:ascii="Times New Roman" w:cs="Times New Roman" w:eastAsia="Times New Roman" w:hAnsi="Times New Roman"/>
                <w:sz w:val="20"/>
                <w:szCs w:val="20"/>
                <w:color w:val="auto"/>
                <w:w w:val="91"/>
              </w:rPr>
              <w:t>Item 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0000FF"/>
            </w:tcBorders>
            <w:gridSpan w:val="2"/>
            <w:vMerge w:val="continue"/>
          </w:tcPr>
          <w:p>
            <w:pPr>
              <w:spacing w:after="0"/>
              <w:rPr>
                <w:sz w:val="19"/>
                <w:szCs w:val="19"/>
                <w:color w:val="auto"/>
              </w:rPr>
            </w:pPr>
          </w:p>
        </w:tc>
        <w:tc>
          <w:tcPr>
            <w:tcW w:w="7040" w:type="dxa"/>
            <w:vAlign w:val="bottom"/>
            <w:gridSpan w:val="2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1A.</w:t>
            </w:r>
          </w:p>
        </w:tc>
        <w:tc>
          <w:tcPr>
            <w:tcW w:w="1020" w:type="dxa"/>
            <w:vAlign w:val="bottom"/>
            <w:tcBorders>
              <w:bottom w:val="single" w:sz="8" w:color="0000FF"/>
            </w:tcBorders>
            <w:gridSpan w:val="5"/>
          </w:tcPr>
          <w:p>
            <w:pPr>
              <w:spacing w:after="0" w:line="225" w:lineRule="exact"/>
              <w:rPr>
                <w:sz w:val="20"/>
                <w:szCs w:val="20"/>
                <w:color w:val="auto"/>
              </w:rPr>
            </w:pPr>
            <w:r>
              <w:rPr>
                <w:rFonts w:ascii="Times New Roman" w:cs="Times New Roman" w:eastAsia="Times New Roman" w:hAnsi="Times New Roman"/>
                <w:sz w:val="20"/>
                <w:szCs w:val="20"/>
                <w:color w:val="0000FF"/>
                <w:w w:val="99"/>
              </w:rPr>
              <w:t>Risk Factors</w:t>
            </w:r>
          </w:p>
        </w:tc>
        <w:tc>
          <w:tcPr>
            <w:tcW w:w="6740" w:type="dxa"/>
            <w:vAlign w:val="bottom"/>
            <w:gridSpan w:val="19"/>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1B.</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Unresolved Staff Comments</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1C.</w:t>
            </w:r>
          </w:p>
        </w:tc>
        <w:tc>
          <w:tcPr>
            <w:tcW w:w="2280" w:type="dxa"/>
            <w:vAlign w:val="bottom"/>
            <w:tcBorders>
              <w:top w:val="single" w:sz="8" w:color="0000FF"/>
            </w:tcBorders>
            <w:gridSpan w:val="13"/>
          </w:tcPr>
          <w:p>
            <w:pPr>
              <w:spacing w:after="0" w:line="225" w:lineRule="exact"/>
              <w:rPr>
                <w:sz w:val="20"/>
                <w:szCs w:val="20"/>
                <w:color w:val="auto"/>
              </w:rPr>
            </w:pPr>
            <w:r>
              <w:rPr>
                <w:rFonts w:ascii="Times New Roman" w:cs="Times New Roman" w:eastAsia="Times New Roman" w:hAnsi="Times New Roman"/>
                <w:sz w:val="20"/>
                <w:szCs w:val="20"/>
                <w:color w:val="0000FF"/>
              </w:rPr>
              <w:t>Cybersecurity</w:t>
            </w:r>
          </w:p>
        </w:tc>
        <w:tc>
          <w:tcPr>
            <w:tcW w:w="5480" w:type="dxa"/>
            <w:vAlign w:val="bottom"/>
            <w:gridSpan w:val="11"/>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26"/>
        </w:trPr>
        <w:tc>
          <w:tcPr>
            <w:tcW w:w="940" w:type="dxa"/>
            <w:vAlign w:val="bottom"/>
            <w:gridSpan w:val="5"/>
          </w:tcPr>
          <w:p>
            <w:pPr>
              <w:ind w:left="140"/>
              <w:spacing w:after="0" w:line="226" w:lineRule="exact"/>
              <w:rPr>
                <w:sz w:val="20"/>
                <w:szCs w:val="20"/>
                <w:color w:val="auto"/>
              </w:rPr>
            </w:pPr>
            <w:r>
              <w:rPr>
                <w:rFonts w:ascii="Times New Roman" w:cs="Times New Roman" w:eastAsia="Times New Roman" w:hAnsi="Times New Roman"/>
                <w:sz w:val="20"/>
                <w:szCs w:val="20"/>
                <w:color w:val="auto"/>
              </w:rPr>
              <w:t>Item 2.</w:t>
            </w:r>
          </w:p>
        </w:tc>
        <w:tc>
          <w:tcPr>
            <w:tcW w:w="820" w:type="dxa"/>
            <w:vAlign w:val="bottom"/>
            <w:tcBorders>
              <w:top w:val="single" w:sz="8" w:color="0000FF"/>
              <w:bottom w:val="single" w:sz="8" w:color="0000FF"/>
            </w:tcBorders>
            <w:gridSpan w:val="3"/>
          </w:tcPr>
          <w:p>
            <w:pPr>
              <w:spacing w:after="0" w:line="226" w:lineRule="exact"/>
              <w:rPr>
                <w:sz w:val="20"/>
                <w:szCs w:val="20"/>
                <w:color w:val="auto"/>
              </w:rPr>
            </w:pPr>
            <w:r>
              <w:rPr>
                <w:rFonts w:ascii="Times New Roman" w:cs="Times New Roman" w:eastAsia="Times New Roman" w:hAnsi="Times New Roman"/>
                <w:sz w:val="20"/>
                <w:szCs w:val="20"/>
                <w:color w:val="0000FF"/>
                <w:w w:val="98"/>
              </w:rPr>
              <w:t>Properties</w:t>
            </w:r>
          </w:p>
        </w:tc>
        <w:tc>
          <w:tcPr>
            <w:tcW w:w="300" w:type="dxa"/>
            <w:vAlign w:val="bottom"/>
            <w:tcBorders>
              <w:top w:val="single" w:sz="8" w:color="0000FF"/>
            </w:tcBorders>
            <w:gridSpan w:val="3"/>
          </w:tcPr>
          <w:p>
            <w:pPr>
              <w:spacing w:after="0"/>
              <w:rPr>
                <w:sz w:val="19"/>
                <w:szCs w:val="19"/>
                <w:color w:val="auto"/>
              </w:rPr>
            </w:pPr>
          </w:p>
        </w:tc>
        <w:tc>
          <w:tcPr>
            <w:tcW w:w="6640" w:type="dxa"/>
            <w:vAlign w:val="bottom"/>
            <w:gridSpan w:val="18"/>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3.</w:t>
            </w:r>
          </w:p>
        </w:tc>
        <w:tc>
          <w:tcPr>
            <w:tcW w:w="1500" w:type="dxa"/>
            <w:vAlign w:val="bottom"/>
            <w:tcBorders>
              <w:bottom w:val="single" w:sz="8" w:color="0000FF"/>
            </w:tcBorders>
            <w:gridSpan w:val="9"/>
          </w:tcPr>
          <w:p>
            <w:pPr>
              <w:spacing w:after="0" w:line="225" w:lineRule="exact"/>
              <w:rPr>
                <w:sz w:val="20"/>
                <w:szCs w:val="20"/>
                <w:color w:val="auto"/>
              </w:rPr>
            </w:pPr>
            <w:r>
              <w:rPr>
                <w:rFonts w:ascii="Times New Roman" w:cs="Times New Roman" w:eastAsia="Times New Roman" w:hAnsi="Times New Roman"/>
                <w:sz w:val="20"/>
                <w:szCs w:val="20"/>
                <w:color w:val="0000FF"/>
                <w:w w:val="99"/>
              </w:rPr>
              <w:t>Legal Proceedings</w:t>
            </w:r>
          </w:p>
        </w:tc>
        <w:tc>
          <w:tcPr>
            <w:tcW w:w="6260" w:type="dxa"/>
            <w:vAlign w:val="bottom"/>
            <w:gridSpan w:val="15"/>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4.</w:t>
            </w:r>
          </w:p>
        </w:tc>
        <w:tc>
          <w:tcPr>
            <w:tcW w:w="1980" w:type="dxa"/>
            <w:vAlign w:val="bottom"/>
            <w:tcBorders>
              <w:bottom w:val="single" w:sz="8" w:color="0000FF"/>
            </w:tcBorders>
            <w:gridSpan w:val="11"/>
          </w:tcPr>
          <w:p>
            <w:pPr>
              <w:spacing w:after="0" w:line="225" w:lineRule="exact"/>
              <w:rPr>
                <w:sz w:val="20"/>
                <w:szCs w:val="20"/>
                <w:color w:val="auto"/>
              </w:rPr>
            </w:pPr>
            <w:r>
              <w:rPr>
                <w:rFonts w:ascii="Times New Roman" w:cs="Times New Roman" w:eastAsia="Times New Roman" w:hAnsi="Times New Roman"/>
                <w:sz w:val="20"/>
                <w:szCs w:val="20"/>
                <w:color w:val="0000FF"/>
                <w:w w:val="99"/>
              </w:rPr>
              <w:t>Mine Safety Disclosures</w:t>
            </w:r>
          </w:p>
        </w:tc>
        <w:tc>
          <w:tcPr>
            <w:tcW w:w="5780" w:type="dxa"/>
            <w:vAlign w:val="bottom"/>
            <w:gridSpan w:val="13"/>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470"/>
        </w:trPr>
        <w:tc>
          <w:tcPr>
            <w:tcW w:w="9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II</w:t>
            </w:r>
          </w:p>
        </w:tc>
        <w:tc>
          <w:tcPr>
            <w:tcW w:w="7760" w:type="dxa"/>
            <w:vAlign w:val="bottom"/>
            <w:gridSpan w:val="24"/>
            <w:vMerge w:val="restart"/>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60" w:type="dxa"/>
            <w:vAlign w:val="bottom"/>
            <w:tcBorders>
              <w:top w:val="single" w:sz="8" w:color="0000FF"/>
            </w:tcBorders>
            <w:gridSpan w:val="3"/>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60" w:type="dxa"/>
            <w:vAlign w:val="bottom"/>
            <w:gridSpan w:val="24"/>
            <w:vMerge w:val="continue"/>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0000FF"/>
              <w:bottom w:val="single" w:sz="8" w:color="0000FF"/>
            </w:tcBorders>
            <w:gridSpan w:val="7"/>
          </w:tcPr>
          <w:p>
            <w:pPr>
              <w:spacing w:after="0" w:line="210" w:lineRule="exact"/>
              <w:rPr>
                <w:sz w:val="20"/>
                <w:szCs w:val="20"/>
                <w:color w:val="auto"/>
              </w:rPr>
            </w:pPr>
            <w:r>
              <w:rPr>
                <w:rFonts w:ascii="Times New Roman" w:cs="Times New Roman" w:eastAsia="Times New Roman" w:hAnsi="Times New Roman"/>
                <w:sz w:val="20"/>
                <w:szCs w:val="20"/>
                <w:color w:val="0000FF"/>
                <w:w w:val="99"/>
              </w:rPr>
              <w:t>Equity Securities</w:t>
            </w:r>
          </w:p>
        </w:tc>
        <w:tc>
          <w:tcPr>
            <w:tcW w:w="6200" w:type="dxa"/>
            <w:vAlign w:val="bottom"/>
            <w:tcBorders>
              <w:top w:val="single" w:sz="8" w:color="0000FF"/>
            </w:tcBorders>
            <w:gridSpan w:val="16"/>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6.</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[Reserved]</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7.</w:t>
            </w:r>
          </w:p>
        </w:tc>
        <w:tc>
          <w:tcPr>
            <w:tcW w:w="7200" w:type="dxa"/>
            <w:vAlign w:val="bottom"/>
            <w:tcBorders>
              <w:bottom w:val="single" w:sz="8" w:color="0000FF"/>
            </w:tcBorders>
            <w:gridSpan w:val="21"/>
          </w:tcPr>
          <w:p>
            <w:pPr>
              <w:spacing w:after="0" w:line="225" w:lineRule="exact"/>
              <w:rPr>
                <w:sz w:val="20"/>
                <w:szCs w:val="20"/>
                <w:color w:val="auto"/>
              </w:rPr>
            </w:pPr>
            <w:r>
              <w:rPr>
                <w:rFonts w:ascii="Times New Roman" w:cs="Times New Roman" w:eastAsia="Times New Roman" w:hAnsi="Times New Roman"/>
                <w:sz w:val="20"/>
                <w:szCs w:val="20"/>
                <w:color w:val="0000FF"/>
                <w:w w:val="99"/>
              </w:rPr>
              <w:t>Management’s Discussion and Analysis of Financial Condition and Results of Operations</w:t>
            </w:r>
          </w:p>
        </w:tc>
        <w:tc>
          <w:tcPr>
            <w:tcW w:w="560" w:type="dxa"/>
            <w:vAlign w:val="bottom"/>
            <w:gridSpan w:val="3"/>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7A.</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26"/>
        </w:trPr>
        <w:tc>
          <w:tcPr>
            <w:tcW w:w="940" w:type="dxa"/>
            <w:vAlign w:val="bottom"/>
            <w:gridSpan w:val="5"/>
          </w:tcPr>
          <w:p>
            <w:pPr>
              <w:ind w:left="140"/>
              <w:spacing w:after="0" w:line="226" w:lineRule="exact"/>
              <w:rPr>
                <w:sz w:val="20"/>
                <w:szCs w:val="20"/>
                <w:color w:val="auto"/>
              </w:rPr>
            </w:pPr>
            <w:r>
              <w:rPr>
                <w:rFonts w:ascii="Times New Roman" w:cs="Times New Roman" w:eastAsia="Times New Roman" w:hAnsi="Times New Roman"/>
                <w:sz w:val="20"/>
                <w:szCs w:val="20"/>
                <w:color w:val="auto"/>
              </w:rPr>
              <w:t>Item 8.</w:t>
            </w:r>
          </w:p>
        </w:tc>
        <w:tc>
          <w:tcPr>
            <w:tcW w:w="4840" w:type="dxa"/>
            <w:vAlign w:val="bottom"/>
            <w:tcBorders>
              <w:top w:val="single" w:sz="8" w:color="0000FF"/>
            </w:tcBorders>
            <w:gridSpan w:val="18"/>
          </w:tcPr>
          <w:p>
            <w:pPr>
              <w:spacing w:after="0" w:line="226" w:lineRule="exact"/>
              <w:rPr>
                <w:sz w:val="20"/>
                <w:szCs w:val="20"/>
                <w:color w:val="auto"/>
              </w:rPr>
            </w:pPr>
            <w:r>
              <w:rPr>
                <w:rFonts w:ascii="Times New Roman" w:cs="Times New Roman" w:eastAsia="Times New Roman" w:hAnsi="Times New Roman"/>
                <w:sz w:val="20"/>
                <w:szCs w:val="20"/>
                <w:color w:val="0000FF"/>
              </w:rPr>
              <w:t>Financial Statements and Supplementary Data</w:t>
            </w:r>
          </w:p>
        </w:tc>
        <w:tc>
          <w:tcPr>
            <w:tcW w:w="2920" w:type="dxa"/>
            <w:vAlign w:val="bottom"/>
            <w:gridSpan w:val="6"/>
          </w:tcPr>
          <w:p>
            <w:pPr>
              <w:spacing w:after="0"/>
              <w:rPr>
                <w:sz w:val="19"/>
                <w:szCs w:val="19"/>
                <w:color w:val="auto"/>
              </w:rPr>
            </w:pPr>
          </w:p>
        </w:tc>
        <w:tc>
          <w:tcPr>
            <w:tcW w:w="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9.</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9A.</w:t>
            </w:r>
          </w:p>
        </w:tc>
        <w:tc>
          <w:tcPr>
            <w:tcW w:w="1980" w:type="dxa"/>
            <w:vAlign w:val="bottom"/>
            <w:tcBorders>
              <w:top w:val="single" w:sz="8" w:color="0000FF"/>
              <w:bottom w:val="single" w:sz="8" w:color="0000FF"/>
            </w:tcBorders>
            <w:gridSpan w:val="11"/>
          </w:tcPr>
          <w:p>
            <w:pPr>
              <w:spacing w:after="0" w:line="225" w:lineRule="exact"/>
              <w:rPr>
                <w:sz w:val="20"/>
                <w:szCs w:val="20"/>
                <w:color w:val="auto"/>
              </w:rPr>
            </w:pPr>
            <w:r>
              <w:rPr>
                <w:rFonts w:ascii="Times New Roman" w:cs="Times New Roman" w:eastAsia="Times New Roman" w:hAnsi="Times New Roman"/>
                <w:sz w:val="20"/>
                <w:szCs w:val="20"/>
                <w:color w:val="0000FF"/>
                <w:w w:val="99"/>
              </w:rPr>
              <w:t>Controls and Procedures</w:t>
            </w:r>
          </w:p>
        </w:tc>
        <w:tc>
          <w:tcPr>
            <w:tcW w:w="5220" w:type="dxa"/>
            <w:vAlign w:val="bottom"/>
            <w:tcBorders>
              <w:top w:val="single" w:sz="8" w:color="0000FF"/>
            </w:tcBorders>
            <w:gridSpan w:val="10"/>
          </w:tcPr>
          <w:p>
            <w:pPr>
              <w:spacing w:after="0"/>
              <w:rPr>
                <w:sz w:val="19"/>
                <w:szCs w:val="19"/>
                <w:color w:val="auto"/>
              </w:rPr>
            </w:pPr>
          </w:p>
        </w:tc>
        <w:tc>
          <w:tcPr>
            <w:tcW w:w="560" w:type="dxa"/>
            <w:vAlign w:val="bottom"/>
            <w:gridSpan w:val="3"/>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9B.</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Other Information</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9C</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470"/>
        </w:trPr>
        <w:tc>
          <w:tcPr>
            <w:tcW w:w="9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0000FF"/>
              </w:rPr>
              <w:t>Part III</w:t>
            </w:r>
          </w:p>
        </w:tc>
        <w:tc>
          <w:tcPr>
            <w:tcW w:w="5440" w:type="dxa"/>
            <w:vAlign w:val="bottom"/>
            <w:tcBorders>
              <w:top w:val="single" w:sz="8" w:color="0000FF"/>
            </w:tcBorders>
            <w:gridSpan w:val="19"/>
            <w:vMerge w:val="restart"/>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2320" w:type="dxa"/>
            <w:vAlign w:val="bottom"/>
            <w:gridSpan w:val="5"/>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9"/>
            <w:vMerge w:val="continue"/>
          </w:tcPr>
          <w:p>
            <w:pPr>
              <w:spacing w:after="0" w:line="20" w:lineRule="exact"/>
              <w:rPr>
                <w:sz w:val="1"/>
                <w:szCs w:val="1"/>
                <w:color w:val="auto"/>
              </w:rPr>
            </w:pPr>
          </w:p>
        </w:tc>
        <w:tc>
          <w:tcPr>
            <w:tcW w:w="2320" w:type="dxa"/>
            <w:vAlign w:val="bottom"/>
            <w:gridSpan w:val="5"/>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40" w:type="dxa"/>
            <w:vAlign w:val="bottom"/>
            <w:gridSpan w:val="5"/>
          </w:tcPr>
          <w:p>
            <w:pPr>
              <w:ind w:left="140"/>
              <w:spacing w:after="0" w:line="226" w:lineRule="exact"/>
              <w:rPr>
                <w:sz w:val="20"/>
                <w:szCs w:val="20"/>
                <w:color w:val="auto"/>
              </w:rPr>
            </w:pPr>
            <w:r>
              <w:rPr>
                <w:rFonts w:ascii="Times New Roman" w:cs="Times New Roman" w:eastAsia="Times New Roman" w:hAnsi="Times New Roman"/>
                <w:sz w:val="20"/>
                <w:szCs w:val="20"/>
                <w:color w:val="auto"/>
              </w:rPr>
              <w:t>Item 10.</w:t>
            </w:r>
          </w:p>
        </w:tc>
        <w:tc>
          <w:tcPr>
            <w:tcW w:w="5440" w:type="dxa"/>
            <w:vAlign w:val="bottom"/>
            <w:gridSpan w:val="19"/>
            <w:vMerge w:val="continue"/>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11.</w:t>
            </w:r>
          </w:p>
        </w:tc>
        <w:tc>
          <w:tcPr>
            <w:tcW w:w="2020" w:type="dxa"/>
            <w:vAlign w:val="bottom"/>
            <w:tcBorders>
              <w:top w:val="single" w:sz="8" w:color="0000FF"/>
              <w:bottom w:val="single" w:sz="8" w:color="0000FF"/>
            </w:tcBorders>
            <w:gridSpan w:val="12"/>
          </w:tcPr>
          <w:p>
            <w:pPr>
              <w:spacing w:after="0" w:line="225" w:lineRule="exact"/>
              <w:rPr>
                <w:sz w:val="20"/>
                <w:szCs w:val="20"/>
                <w:color w:val="auto"/>
              </w:rPr>
            </w:pPr>
            <w:r>
              <w:rPr>
                <w:rFonts w:ascii="Times New Roman" w:cs="Times New Roman" w:eastAsia="Times New Roman" w:hAnsi="Times New Roman"/>
                <w:sz w:val="20"/>
                <w:szCs w:val="20"/>
                <w:color w:val="0000FF"/>
                <w:w w:val="99"/>
              </w:rPr>
              <w:t>Executive Compensation</w:t>
            </w:r>
          </w:p>
        </w:tc>
        <w:tc>
          <w:tcPr>
            <w:tcW w:w="2540" w:type="dxa"/>
            <w:vAlign w:val="bottom"/>
            <w:tcBorders>
              <w:top w:val="single" w:sz="8" w:color="0000FF"/>
            </w:tcBorders>
            <w:gridSpan w:val="5"/>
          </w:tcPr>
          <w:p>
            <w:pPr>
              <w:spacing w:after="0"/>
              <w:rPr>
                <w:sz w:val="19"/>
                <w:szCs w:val="19"/>
                <w:color w:val="auto"/>
              </w:rPr>
            </w:pPr>
          </w:p>
        </w:tc>
        <w:tc>
          <w:tcPr>
            <w:tcW w:w="3200" w:type="dxa"/>
            <w:vAlign w:val="bottom"/>
            <w:gridSpan w:val="7"/>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12</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0000FF"/>
              <w:bottom w:val="single" w:sz="8" w:color="0000FF"/>
            </w:tcBorders>
          </w:tcPr>
          <w:p>
            <w:pPr>
              <w:spacing w:after="0" w:line="210" w:lineRule="exact"/>
              <w:rPr>
                <w:sz w:val="20"/>
                <w:szCs w:val="20"/>
                <w:color w:val="auto"/>
              </w:rPr>
            </w:pPr>
            <w:r>
              <w:rPr>
                <w:rFonts w:ascii="Times New Roman" w:cs="Times New Roman" w:eastAsia="Times New Roman" w:hAnsi="Times New Roman"/>
                <w:sz w:val="20"/>
                <w:szCs w:val="20"/>
                <w:color w:val="0000FF"/>
                <w:w w:val="98"/>
              </w:rPr>
              <w:t>Matters</w:t>
            </w:r>
          </w:p>
        </w:tc>
        <w:tc>
          <w:tcPr>
            <w:tcW w:w="6820" w:type="dxa"/>
            <w:vAlign w:val="bottom"/>
            <w:tcBorders>
              <w:top w:val="single" w:sz="8" w:color="0000FF"/>
            </w:tcBorders>
            <w:gridSpan w:val="21"/>
          </w:tcPr>
          <w:p>
            <w:pPr>
              <w:spacing w:after="0"/>
              <w:rPr>
                <w:sz w:val="18"/>
                <w:szCs w:val="18"/>
                <w:color w:val="auto"/>
              </w:rPr>
            </w:pPr>
          </w:p>
        </w:tc>
        <w:tc>
          <w:tcPr>
            <w:tcW w:w="320" w:type="dxa"/>
            <w:vAlign w:val="bottom"/>
            <w:gridSpan w:val="2"/>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13</w:t>
            </w:r>
          </w:p>
        </w:tc>
        <w:tc>
          <w:tcPr>
            <w:tcW w:w="6080" w:type="dxa"/>
            <w:vAlign w:val="bottom"/>
            <w:tcBorders>
              <w:bottom w:val="single" w:sz="8" w:color="0000FF"/>
            </w:tcBorders>
            <w:gridSpan w:val="20"/>
          </w:tcPr>
          <w:p>
            <w:pPr>
              <w:spacing w:after="0" w:line="225" w:lineRule="exact"/>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680" w:type="dxa"/>
            <w:vAlign w:val="bottom"/>
            <w:gridSpan w:val="4"/>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14</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Principal Accountant Fees and Services</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0"/>
        </w:trPr>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0000FF"/>
              </w:rPr>
              <w:t>PART IV</w:t>
            </w: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40" w:type="dxa"/>
            <w:vAlign w:val="bottom"/>
            <w:gridSpan w:val="5"/>
            <w:vMerge w:val="continue"/>
          </w:tcPr>
          <w:p>
            <w:pPr>
              <w:spacing w:after="0"/>
              <w:rPr>
                <w:sz w:val="24"/>
                <w:szCs w:val="24"/>
                <w:color w:val="auto"/>
              </w:rPr>
            </w:pPr>
          </w:p>
        </w:tc>
        <w:tc>
          <w:tcPr>
            <w:tcW w:w="352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0000FF"/>
                <w:w w:val="99"/>
              </w:rPr>
              <w:t>Exhibits and Financial Statement Schedules</w:t>
            </w:r>
          </w:p>
        </w:tc>
        <w:tc>
          <w:tcPr>
            <w:tcW w:w="4240" w:type="dxa"/>
            <w:vAlign w:val="bottom"/>
            <w:gridSpan w:val="9"/>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30"/>
        </w:trPr>
        <w:tc>
          <w:tcPr>
            <w:tcW w:w="820" w:type="dxa"/>
            <w:vAlign w:val="bottom"/>
            <w:tcBorders>
              <w:top w:val="single" w:sz="8" w:color="0000FF"/>
            </w:tcBorders>
            <w:gridSpan w:val="4"/>
          </w:tcPr>
          <w:p>
            <w:pPr>
              <w:ind w:left="140"/>
              <w:spacing w:after="0" w:line="225" w:lineRule="exact"/>
              <w:rPr>
                <w:sz w:val="20"/>
                <w:szCs w:val="20"/>
                <w:color w:val="auto"/>
              </w:rPr>
            </w:pPr>
            <w:r>
              <w:rPr>
                <w:rFonts w:ascii="Times New Roman" w:cs="Times New Roman" w:eastAsia="Times New Roman" w:hAnsi="Times New Roman"/>
                <w:sz w:val="20"/>
                <w:szCs w:val="20"/>
                <w:color w:val="auto"/>
                <w:w w:val="98"/>
              </w:rPr>
              <w:t>Item 15.</w:t>
            </w:r>
          </w:p>
        </w:tc>
        <w:tc>
          <w:tcPr>
            <w:tcW w:w="120" w:type="dxa"/>
            <w:vAlign w:val="bottom"/>
          </w:tcPr>
          <w:p>
            <w:pPr>
              <w:spacing w:after="0"/>
              <w:rPr>
                <w:sz w:val="19"/>
                <w:szCs w:val="19"/>
                <w:color w:val="auto"/>
              </w:rPr>
            </w:pPr>
          </w:p>
        </w:tc>
        <w:tc>
          <w:tcPr>
            <w:tcW w:w="3520" w:type="dxa"/>
            <w:vAlign w:val="bottom"/>
            <w:tcBorders>
              <w:bottom w:val="single" w:sz="8" w:color="0000FF"/>
            </w:tcBorders>
            <w:gridSpan w:val="15"/>
            <w:vMerge w:val="continue"/>
          </w:tcPr>
          <w:p>
            <w:pPr>
              <w:spacing w:after="0"/>
              <w:rPr>
                <w:sz w:val="19"/>
                <w:szCs w:val="19"/>
                <w:color w:val="auto"/>
              </w:rPr>
            </w:pPr>
          </w:p>
        </w:tc>
        <w:tc>
          <w:tcPr>
            <w:tcW w:w="4240" w:type="dxa"/>
            <w:vAlign w:val="bottom"/>
            <w:gridSpan w:val="9"/>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40" w:type="dxa"/>
            <w:vAlign w:val="bottom"/>
            <w:gridSpan w:val="5"/>
          </w:tcPr>
          <w:p>
            <w:pPr>
              <w:ind w:left="140"/>
              <w:spacing w:after="0" w:line="225" w:lineRule="exact"/>
              <w:rPr>
                <w:sz w:val="20"/>
                <w:szCs w:val="20"/>
                <w:color w:val="auto"/>
              </w:rPr>
            </w:pPr>
            <w:r>
              <w:rPr>
                <w:rFonts w:ascii="Times New Roman" w:cs="Times New Roman" w:eastAsia="Times New Roman" w:hAnsi="Times New Roman"/>
                <w:sz w:val="20"/>
                <w:szCs w:val="20"/>
                <w:color w:val="auto"/>
              </w:rPr>
              <w:t>Item 16</w:t>
            </w:r>
          </w:p>
        </w:tc>
        <w:tc>
          <w:tcPr>
            <w:tcW w:w="7760" w:type="dxa"/>
            <w:vAlign w:val="bottom"/>
            <w:gridSpan w:val="24"/>
          </w:tcPr>
          <w:p>
            <w:pPr>
              <w:spacing w:after="0" w:line="225" w:lineRule="exact"/>
              <w:rPr>
                <w:sz w:val="20"/>
                <w:szCs w:val="20"/>
                <w:color w:val="auto"/>
              </w:rPr>
            </w:pPr>
            <w:r>
              <w:rPr>
                <w:rFonts w:ascii="Times New Roman" w:cs="Times New Roman" w:eastAsia="Times New Roman" w:hAnsi="Times New Roman"/>
                <w:sz w:val="20"/>
                <w:szCs w:val="20"/>
                <w:color w:val="0000FF"/>
              </w:rPr>
              <w:t>Form 10-K Summary</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360"/>
          </w:cols>
          <w:pgMar w:left="1440" w:top="1416" w:right="1440" w:bottom="1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Note Regarding Company References</w:t>
      </w:r>
    </w:p>
    <w:p>
      <w:pPr>
        <w:spacing w:after="0" w:line="243" w:lineRule="exact"/>
        <w:rPr>
          <w:sz w:val="20"/>
          <w:szCs w:val="20"/>
          <w:color w:val="auto"/>
        </w:rPr>
      </w:pPr>
    </w:p>
    <w:p>
      <w:pPr>
        <w:jc w:val="both"/>
        <w:ind w:right="200" w:firstLine="490"/>
        <w:spacing w:after="0" w:line="279" w:lineRule="auto"/>
        <w:rPr>
          <w:sz w:val="20"/>
          <w:szCs w:val="20"/>
          <w:color w:val="auto"/>
        </w:rPr>
      </w:pPr>
      <w:r>
        <w:rPr>
          <w:rFonts w:ascii="Times New Roman" w:cs="Times New Roman" w:eastAsia="Times New Roman" w:hAnsi="Times New Roman"/>
          <w:sz w:val="19"/>
          <w:szCs w:val="19"/>
          <w:color w:val="auto"/>
        </w:rPr>
        <w:t>Throughout this Annual Report on Form 10-K (“Annual Report”), the “Company,” “Vor,” “Vor Bio,” “Vor Biopharma Inc.,” “we,” “us,” and “our,” except where the context requires otherwise, refer to Vor Biopharma Inc. and its consolidated subsidiary, and “our board of directors” refers to the board of directors of Vor Biopharma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 and Industry Data</w:t>
      </w:r>
    </w:p>
    <w:p>
      <w:pPr>
        <w:spacing w:after="0" w:line="243"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This Annual Report contains forward-looking statements that involve substantial risks and uncertainties. All statements, other than statements of historical facts, contained in this Annual Report, including statements regarding our strategy, future operations, future financial position, future revenue, projected costs, prospects, plans, and objectives of management, are forward-looking statements. In some cases, you can identify forward-looking statements by terms such as “may,” “will,” “should,” “would,” “expect,” “plan,” “anticipate,” “could,” “might,” “intend,” “target,” “ongoing,” “project,” “estimate,” “believe,” “estimate,” “predict,” “potential” or “continue” or the negative of these terms or other similar expressions intended to identify statements about the future. These statements speak only as of the date of this Annual Report and involve known and unknown risks, uncertainties and other important factors that may cause our actual results, levels of activity, performance or achievements to be materially different from any future results, levels of activity,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w:t>
      </w:r>
    </w:p>
    <w:p>
      <w:pPr>
        <w:spacing w:after="0" w:line="107" w:lineRule="exact"/>
        <w:rPr>
          <w:sz w:val="20"/>
          <w:szCs w:val="20"/>
          <w:color w:val="auto"/>
        </w:rPr>
      </w:pPr>
    </w:p>
    <w:p>
      <w:pPr>
        <w:jc w:val="both"/>
        <w:ind w:left="980" w:right="180" w:hanging="492"/>
        <w:spacing w:after="0" w:line="247"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progress and results of our clinical trials of our product candidate and clinical trials for any future product candidates, including statements regarding the timing and pace of initiation, enrollment and completion of studies or trials and related preparatory work, the period during which the results of the trials will become available and plans with respect to our research and development programs;</w:t>
      </w:r>
    </w:p>
    <w:p>
      <w:pPr>
        <w:spacing w:after="0" w:line="92" w:lineRule="exact"/>
        <w:rPr>
          <w:rFonts w:ascii="Symbol" w:cs="Symbol" w:eastAsia="Symbol" w:hAnsi="Symbol"/>
          <w:sz w:val="20"/>
          <w:szCs w:val="20"/>
          <w:color w:val="auto"/>
        </w:rPr>
      </w:pPr>
    </w:p>
    <w:p>
      <w:pPr>
        <w:ind w:left="980" w:right="40" w:hanging="492"/>
        <w:spacing w:after="0" w:line="26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of any submission of filings for regulatory approval of, and our ability to obtain and maintain regulatory approvals for, our product candidate and any future product candidates for any indication;</w:t>
      </w:r>
    </w:p>
    <w:p>
      <w:pPr>
        <w:spacing w:after="0" w:line="77" w:lineRule="exact"/>
        <w:rPr>
          <w:rFonts w:ascii="Symbol" w:cs="Symbol" w:eastAsia="Symbol" w:hAnsi="Symbol"/>
          <w:sz w:val="20"/>
          <w:szCs w:val="20"/>
          <w:color w:val="auto"/>
        </w:rPr>
      </w:pPr>
    </w:p>
    <w:p>
      <w:pPr>
        <w:ind w:left="980" w:right="100" w:hanging="492"/>
        <w:spacing w:after="0" w:line="26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identify patients with the diseases treated by our product candidate and any future product candidates, and to enroll patients in clinical trials;</w:t>
      </w:r>
    </w:p>
    <w:p>
      <w:pPr>
        <w:spacing w:after="0" w:line="77" w:lineRule="exact"/>
        <w:rPr>
          <w:rFonts w:ascii="Symbol" w:cs="Symbol" w:eastAsia="Symbol" w:hAnsi="Symbol"/>
          <w:sz w:val="20"/>
          <w:szCs w:val="20"/>
          <w:color w:val="auto"/>
        </w:rPr>
      </w:pPr>
    </w:p>
    <w:p>
      <w:pPr>
        <w:ind w:left="980" w:right="120" w:hanging="492"/>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market acceptance and opportunity for and clinical utility of our product candidate and any future product candidates, if approved for commercial use;</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scope of any approved indication for any product candidate;</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successfully commercialize our product candidate or any future product candidates;</w:t>
      </w:r>
    </w:p>
    <w:p>
      <w:pPr>
        <w:spacing w:after="0" w:line="119" w:lineRule="exact"/>
        <w:rPr>
          <w:rFonts w:ascii="Symbol" w:cs="Symbol" w:eastAsia="Symbol" w:hAnsi="Symbol"/>
          <w:sz w:val="20"/>
          <w:szCs w:val="20"/>
          <w:color w:val="auto"/>
        </w:rPr>
      </w:pPr>
    </w:p>
    <w:p>
      <w:pPr>
        <w:ind w:left="980" w:right="80" w:hanging="492"/>
        <w:spacing w:after="0" w:line="26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estimates of our expenses, ongoing losses, future revenue and capital requirements and our need for or ability to obtain additional funding;</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establish or maintain collaborations or strategic relationships;</w:t>
      </w:r>
    </w:p>
    <w:p>
      <w:pPr>
        <w:spacing w:after="0" w:line="118" w:lineRule="exact"/>
        <w:rPr>
          <w:rFonts w:ascii="Symbol" w:cs="Symbol" w:eastAsia="Symbol" w:hAnsi="Symbol"/>
          <w:sz w:val="20"/>
          <w:szCs w:val="20"/>
          <w:color w:val="auto"/>
        </w:rPr>
      </w:pPr>
    </w:p>
    <w:p>
      <w:pPr>
        <w:ind w:left="980" w:right="360" w:hanging="492"/>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identify, recruit and retain key personnel, including executive officers and members of management;</w:t>
      </w:r>
    </w:p>
    <w:p>
      <w:pPr>
        <w:spacing w:after="0" w:line="76" w:lineRule="exact"/>
        <w:rPr>
          <w:rFonts w:ascii="Symbol" w:cs="Symbol" w:eastAsia="Symbol" w:hAnsi="Symbol"/>
          <w:sz w:val="20"/>
          <w:szCs w:val="20"/>
          <w:color w:val="auto"/>
        </w:rPr>
      </w:pPr>
    </w:p>
    <w:p>
      <w:pPr>
        <w:ind w:left="980" w:right="80" w:hanging="492"/>
        <w:spacing w:after="0" w:line="26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reliance upon intellectual property licensed from third parties and our ability to obtain such licenses on commercially reasonable terms or at all;</w:t>
      </w:r>
    </w:p>
    <w:p>
      <w:pPr>
        <w:spacing w:after="0" w:line="77" w:lineRule="exact"/>
        <w:rPr>
          <w:rFonts w:ascii="Symbol" w:cs="Symbol" w:eastAsia="Symbol" w:hAnsi="Symbol"/>
          <w:sz w:val="20"/>
          <w:szCs w:val="20"/>
          <w:color w:val="auto"/>
        </w:rPr>
      </w:pPr>
    </w:p>
    <w:p>
      <w:pPr>
        <w:ind w:left="980" w:right="440" w:hanging="492"/>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protect and enforce our intellectual property position for our product candidate or any future product candidates, and the scope of such protection;</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financial performance;</w:t>
      </w:r>
    </w:p>
    <w:p>
      <w:pPr>
        <w:spacing w:after="0" w:line="119" w:lineRule="exact"/>
        <w:rPr>
          <w:rFonts w:ascii="Symbol" w:cs="Symbol" w:eastAsia="Symbol" w:hAnsi="Symbol"/>
          <w:sz w:val="20"/>
          <w:szCs w:val="20"/>
          <w:color w:val="auto"/>
        </w:rPr>
      </w:pPr>
    </w:p>
    <w:p>
      <w:pPr>
        <w:ind w:left="980" w:right="120" w:hanging="492"/>
        <w:spacing w:after="0" w:line="26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period over which we estimate our existing cash, cash equivalents and marketable securities will be sufficient to fund our future operating expenses and capital expenditure requirements;</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expectations regarding the closing of the 2026 Private Placement;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5" w:gutter="0" w:footer="0" w:header="0"/>
        </w:sectPr>
      </w:pPr>
    </w:p>
    <w:bookmarkStart w:id="3" w:name="page4"/>
    <w:bookmarkEnd w:id="3"/>
    <w:p>
      <w:pPr>
        <w:ind w:left="980" w:right="500" w:hanging="492"/>
        <w:spacing w:after="0" w:line="261" w:lineRule="auto"/>
        <w:tabs>
          <w:tab w:leader="none" w:pos="9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competitive position and the development of and projections relating to our competition or our industry; and</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laws and regulations.</w:t>
      </w:r>
    </w:p>
    <w:p>
      <w:pPr>
        <w:spacing w:after="0" w:line="200" w:lineRule="exact"/>
        <w:rPr>
          <w:sz w:val="20"/>
          <w:szCs w:val="20"/>
          <w:color w:val="auto"/>
        </w:rPr>
      </w:pPr>
    </w:p>
    <w:p>
      <w:pPr>
        <w:spacing w:after="0" w:line="255"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You should read this Annual Report and the documents that we have filed as exhibits to this Annual Report completely and with the understanding that our actual future results may be materially different from what we expect. The forward-looking statements contained in this Annual Report are made as of the date of this Annual Report, and we do not assume any obligation to update any forward-looking statements, whether as a result of new information, future events or otherwise, except as required by applicable law. We have included important factors in this Annual Report, particularly in the “Summary Risk Factors” and “Risk Factors” sections, that could cause actual results or events to differ materially from the forward-looking statements that we make.</w:t>
      </w:r>
    </w:p>
    <w:p>
      <w:pPr>
        <w:spacing w:after="0" w:line="20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This Annual Report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brand names or trademarks appearing in this Annual Report are the property of their respective owners.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43"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Our principal risks include the following:</w:t>
      </w:r>
    </w:p>
    <w:p>
      <w:pPr>
        <w:spacing w:after="0" w:line="80" w:lineRule="exact"/>
        <w:rPr>
          <w:sz w:val="20"/>
          <w:szCs w:val="20"/>
          <w:color w:val="auto"/>
        </w:rPr>
      </w:pPr>
    </w:p>
    <w:p>
      <w:pPr>
        <w:ind w:left="980" w:right="20" w:hanging="492"/>
        <w:spacing w:after="0" w:line="262"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incurred significant net losses since inception. We expect to incur net losses for the foreseeable future and may never achieve or maintain profitability.</w:t>
      </w:r>
    </w:p>
    <w:p>
      <w:pPr>
        <w:spacing w:after="0" w:line="75" w:lineRule="exact"/>
        <w:rPr>
          <w:rFonts w:ascii="Symbol" w:cs="Symbol" w:eastAsia="Symbol" w:hAnsi="Symbol"/>
          <w:sz w:val="20"/>
          <w:szCs w:val="20"/>
          <w:color w:val="auto"/>
        </w:rPr>
      </w:pPr>
    </w:p>
    <w:p>
      <w:pPr>
        <w:ind w:left="980" w:right="60" w:hanging="492"/>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87" w:lineRule="exact"/>
        <w:rPr>
          <w:rFonts w:ascii="Symbol" w:cs="Symbol" w:eastAsia="Symbol" w:hAnsi="Symbol"/>
          <w:sz w:val="20"/>
          <w:szCs w:val="20"/>
          <w:color w:val="auto"/>
        </w:rPr>
      </w:pPr>
    </w:p>
    <w:p>
      <w:pPr>
        <w:jc w:val="both"/>
        <w:ind w:left="980" w:right="260" w:hanging="492"/>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a limited operating history, have not yet completed any clinical trials and have no history of commercializing products, which may make it difficult to evaluate the success of our business to date and to assess our future viability.</w:t>
      </w:r>
    </w:p>
    <w:p>
      <w:pPr>
        <w:spacing w:after="0" w:line="87" w:lineRule="exact"/>
        <w:rPr>
          <w:rFonts w:ascii="Symbol" w:cs="Symbol" w:eastAsia="Symbol" w:hAnsi="Symbol"/>
          <w:sz w:val="20"/>
          <w:szCs w:val="20"/>
          <w:color w:val="auto"/>
        </w:rPr>
      </w:pPr>
    </w:p>
    <w:p>
      <w:pPr>
        <w:jc w:val="both"/>
        <w:ind w:left="980" w:right="500" w:hanging="492"/>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substantially dependent on the success of our lead product candidate, telitacicept. If we are unable to complete development of, obtain approval for and commercialize telitacicept in a timely manner, our business will be harmed.</w:t>
      </w:r>
    </w:p>
    <w:p>
      <w:pPr>
        <w:spacing w:after="0" w:line="87" w:lineRule="exact"/>
        <w:rPr>
          <w:rFonts w:ascii="Symbol" w:cs="Symbol" w:eastAsia="Symbol" w:hAnsi="Symbol"/>
          <w:sz w:val="20"/>
          <w:szCs w:val="20"/>
          <w:color w:val="auto"/>
        </w:rPr>
      </w:pPr>
    </w:p>
    <w:p>
      <w:pPr>
        <w:jc w:val="both"/>
        <w:ind w:left="980" w:right="40" w:hanging="492"/>
        <w:spacing w:after="0" w:line="270" w:lineRule="auto"/>
        <w:tabs>
          <w:tab w:leader="none" w:pos="980" w:val="left"/>
        </w:tabs>
        <w:numPr>
          <w:ilvl w:val="0"/>
          <w:numId w:val="5"/>
        </w:numPr>
        <w:rPr>
          <w:rFonts w:ascii="Symbol" w:cs="Symbol" w:eastAsia="Symbol" w:hAnsi="Symbol"/>
          <w:sz w:val="19"/>
          <w:szCs w:val="19"/>
          <w:color w:val="auto"/>
        </w:rPr>
      </w:pPr>
      <w:r>
        <w:rPr>
          <w:rFonts w:ascii="Times New Roman" w:cs="Times New Roman" w:eastAsia="Times New Roman" w:hAnsi="Times New Roman"/>
          <w:sz w:val="19"/>
          <w:szCs w:val="19"/>
          <w:color w:val="auto"/>
        </w:rPr>
        <w:t>We may derive results and data for telitacicept from clinical trials conducted by RemeGen in China; our access to the clinical results and data may be limited and there is no assurance that the clinical data from any such trials will be accepted or considered by the FDA, or other comparable regulatory authorities.</w:t>
      </w:r>
    </w:p>
    <w:p>
      <w:pPr>
        <w:spacing w:after="0" w:line="70" w:lineRule="exact"/>
        <w:rPr>
          <w:rFonts w:ascii="Symbol" w:cs="Symbol" w:eastAsia="Symbol" w:hAnsi="Symbol"/>
          <w:sz w:val="19"/>
          <w:szCs w:val="19"/>
          <w:color w:val="auto"/>
        </w:rPr>
      </w:pPr>
    </w:p>
    <w:p>
      <w:pPr>
        <w:ind w:left="980" w:right="620" w:hanging="492"/>
        <w:spacing w:after="0" w:line="262"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dependent on third parties accurately generating and reporting data related to our product candidate, and their conduct could adversely affect our business.</w:t>
      </w:r>
    </w:p>
    <w:p>
      <w:pPr>
        <w:spacing w:after="0" w:line="75" w:lineRule="exact"/>
        <w:rPr>
          <w:rFonts w:ascii="Symbol" w:cs="Symbol" w:eastAsia="Symbol" w:hAnsi="Symbol"/>
          <w:sz w:val="20"/>
          <w:szCs w:val="20"/>
          <w:color w:val="auto"/>
        </w:rPr>
      </w:pPr>
    </w:p>
    <w:p>
      <w:pPr>
        <w:ind w:left="980" w:right="20" w:hanging="492"/>
        <w:spacing w:after="0" w:line="247"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35" w:right="1440" w:bottom="175" w:gutter="0" w:footer="0" w:header="0"/>
        </w:sectPr>
      </w:pPr>
    </w:p>
    <w:bookmarkStart w:id="4" w:name="page5"/>
    <w:bookmarkEnd w:id="4"/>
    <w:p>
      <w:pPr>
        <w:ind w:left="980" w:right="300" w:hanging="492"/>
        <w:spacing w:after="0" w:line="261"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 in preclinical studies or clinical trials may not be indicative of results in future clinical trials, particularly for clinical trials that involve only a small number of patients.</w:t>
      </w:r>
    </w:p>
    <w:p>
      <w:pPr>
        <w:spacing w:after="0" w:line="77" w:lineRule="exact"/>
        <w:rPr>
          <w:rFonts w:ascii="Symbol" w:cs="Symbol" w:eastAsia="Symbol" w:hAnsi="Symbol"/>
          <w:sz w:val="20"/>
          <w:szCs w:val="20"/>
          <w:color w:val="auto"/>
        </w:rPr>
      </w:pPr>
    </w:p>
    <w:p>
      <w:pPr>
        <w:ind w:left="980" w:right="180" w:hanging="492"/>
        <w:spacing w:after="0" w:line="250"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experience significant delays or difficulties in the enrollment or retention of patients in clinical trials, the cost of developing product candidates could increase and our receipt of necessary regulatory approvals could be delayed or prevented.</w:t>
      </w:r>
    </w:p>
    <w:p>
      <w:pPr>
        <w:spacing w:after="0" w:line="90" w:lineRule="exact"/>
        <w:rPr>
          <w:rFonts w:ascii="Symbol" w:cs="Symbol" w:eastAsia="Symbol" w:hAnsi="Symbol"/>
          <w:sz w:val="20"/>
          <w:szCs w:val="20"/>
          <w:color w:val="auto"/>
        </w:rPr>
      </w:pPr>
    </w:p>
    <w:p>
      <w:pPr>
        <w:ind w:left="980" w:right="80" w:hanging="492"/>
        <w:spacing w:after="0" w:line="244"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We will continue to contract with third parties for the manufacture and supply of materials for development of our product candidates, advancement of our current and future clinical trials, and potential commercialization of our product candidates. This increases the risk that we will not have sufficient quantities and quality of such materials for the development of our product candidates, or that such supply will not be available to us at an acceptable cost, which could delay, prevent or impair our development or commercialization efforts.</w:t>
      </w:r>
    </w:p>
    <w:p>
      <w:pPr>
        <w:spacing w:after="0" w:line="96" w:lineRule="exact"/>
        <w:rPr>
          <w:rFonts w:ascii="Symbol" w:cs="Symbol" w:eastAsia="Symbol" w:hAnsi="Symbol"/>
          <w:sz w:val="20"/>
          <w:szCs w:val="20"/>
          <w:color w:val="auto"/>
        </w:rPr>
      </w:pPr>
    </w:p>
    <w:p>
      <w:pPr>
        <w:ind w:left="980" w:right="320" w:hanging="492"/>
        <w:spacing w:after="0" w:line="261"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highly dependent on intellectual property licensed from third parties and termination of these licenses could result in the loss of significant rights, which would harm our business.</w:t>
      </w:r>
    </w:p>
    <w:p>
      <w:pPr>
        <w:spacing w:after="0" w:line="77" w:lineRule="exact"/>
        <w:rPr>
          <w:rFonts w:ascii="Symbol" w:cs="Symbol" w:eastAsia="Symbol" w:hAnsi="Symbol"/>
          <w:sz w:val="20"/>
          <w:szCs w:val="20"/>
          <w:color w:val="auto"/>
        </w:rPr>
      </w:pPr>
    </w:p>
    <w:p>
      <w:pPr>
        <w:ind w:left="980" w:right="260" w:hanging="492"/>
        <w:spacing w:after="0" w:line="250"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Third-party claims of intellectual property infringement, misappropriation or other violations may prevent or delay our product discovery and development efforts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35" w:right="1440" w:bottom="17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140" w:firstLine="612"/>
        <w:spacing w:after="0" w:line="249" w:lineRule="auto"/>
        <w:rPr>
          <w:sz w:val="20"/>
          <w:szCs w:val="20"/>
          <w:color w:val="auto"/>
        </w:rPr>
      </w:pPr>
      <w:r>
        <w:rPr>
          <w:rFonts w:ascii="Times New Roman" w:cs="Times New Roman" w:eastAsia="Times New Roman" w:hAnsi="Times New Roman"/>
          <w:sz w:val="20"/>
          <w:szCs w:val="20"/>
          <w:color w:val="auto"/>
        </w:rPr>
        <w:t>Vor Biopharma, Inc. ("Vor Bio") is a clinical-stage biopharmaceutical company focused on developing a novel therapy in the treatment of autoimmune diseases. In June 2025, we in-licensed telitacicept from RemeGen Co., Ltd. (“RemeGen”). Pursuant to our license agreement with RemeGen, we were granted an exclusive license to develop and commercialize telitacicept outside of the Greater China region, which includes mainland China, Hong Kong, Macau and Taiwan. RemeGen retains development and commercialization rights in Greater China.</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Telitacicept is approved in China for the treatment of systemic lupus erythematosus (“SLE”), rheumatoid arthritis (“RA”), and generalized myasthenia gravis (“gMG”), and has two Biologics License Applications ("BLAs") filed and pending in China for the treatment of Sjögren’s disease (“SjD”) and IgA nephrapathy (“IgAN”). Our global Phase 3 clinical trial in gMG is currently underway across the United States, Europe, South America, and Asia to support potential approval in the United States, Europe, and Japan. We have recently initiated a global Phase 3 clinical trial in SjD, with the first patient dosing in March 2026, and anticipate enrolling at clinical sites across the United States, Europe, South America, and Asia to support potential approval in the United States, Europe, and Japan.</w:t>
      </w:r>
    </w:p>
    <w:p>
      <w:pPr>
        <w:spacing w:after="0" w:line="81" w:lineRule="exact"/>
        <w:rPr>
          <w:sz w:val="20"/>
          <w:szCs w:val="20"/>
          <w:color w:val="auto"/>
        </w:rPr>
      </w:pPr>
    </w:p>
    <w:p>
      <w:pPr>
        <w:ind w:right="20" w:firstLine="612"/>
        <w:spacing w:after="0" w:line="246" w:lineRule="auto"/>
        <w:rPr>
          <w:sz w:val="20"/>
          <w:szCs w:val="20"/>
          <w:color w:val="auto"/>
        </w:rPr>
      </w:pPr>
      <w:r>
        <w:rPr>
          <w:rFonts w:ascii="Times New Roman" w:cs="Times New Roman" w:eastAsia="Times New Roman" w:hAnsi="Times New Roman"/>
          <w:sz w:val="20"/>
          <w:szCs w:val="20"/>
          <w:color w:val="auto"/>
        </w:rPr>
        <w:t>Telitacicept is a novel fusion protein for treating autoimmune diseases. It is constructed with the extracellular domain of the human transmembrane activator and calcium modulator and cyclophilin ligand interactor (“TACI”) receptor and the fragment crystallizable (“Fc”) domain of human immunoglobulin G (“IgG”). Telitacicept targets and acts on two cell signaling molecules critical for B lymphocyte development: B cell lymphocyte stimulator (“BLyS”), also known as B cell activating factor (“BAFF”), and a proliferation inducing ligand (“APRIL”), which allows it to effectively reduce B cell mediated autoimmune responses that are implicated in several autoimmune diseases.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Vor Bio is executing a focused strategy to become a leading global company in autoimmune therapeutics.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strategic priorities include:</w:t>
      </w:r>
    </w:p>
    <w:p>
      <w:pPr>
        <w:spacing w:after="0" w:line="327" w:lineRule="exact"/>
        <w:rPr>
          <w:sz w:val="20"/>
          <w:szCs w:val="20"/>
          <w:color w:val="auto"/>
        </w:rPr>
      </w:pPr>
    </w:p>
    <w:p>
      <w:pPr>
        <w:ind w:right="180"/>
        <w:spacing w:after="0" w:line="261" w:lineRule="auto"/>
        <w:tabs>
          <w:tab w:leader="none" w:pos="7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Rapid Global Development of Telitacicept: </w:t>
      </w:r>
      <w:r>
        <w:rPr>
          <w:rFonts w:ascii="Times New Roman" w:cs="Times New Roman" w:eastAsia="Times New Roman" w:hAnsi="Times New Roman"/>
          <w:sz w:val="20"/>
          <w:szCs w:val="20"/>
          <w:color w:val="auto"/>
        </w:rPr>
        <w:t>We are advancing telitacicept through global Phase 3 trials,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near-term goal of regulatory approval in the United States, Europe, and Japan for gMG and SjD. Our strategy leverages prior trials of telitacicept conducted in China by RemeGen.</w:t>
      </w:r>
    </w:p>
    <w:p>
      <w:pPr>
        <w:spacing w:after="0" w:line="299" w:lineRule="exact"/>
        <w:rPr>
          <w:rFonts w:ascii="Times New Roman" w:cs="Times New Roman" w:eastAsia="Times New Roman" w:hAnsi="Times New Roman"/>
          <w:sz w:val="20"/>
          <w:szCs w:val="20"/>
          <w:b w:val="1"/>
          <w:bCs w:val="1"/>
          <w:color w:val="auto"/>
        </w:rPr>
      </w:pPr>
    </w:p>
    <w:p>
      <w:pPr>
        <w:ind w:right="60"/>
        <w:spacing w:after="0" w:line="261" w:lineRule="auto"/>
        <w:tabs>
          <w:tab w:leader="none" w:pos="719"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Pipeline Expansion: </w:t>
      </w:r>
      <w:r>
        <w:rPr>
          <w:rFonts w:ascii="Times New Roman" w:cs="Times New Roman" w:eastAsia="Times New Roman" w:hAnsi="Times New Roman"/>
          <w:sz w:val="20"/>
          <w:szCs w:val="20"/>
          <w:color w:val="auto"/>
        </w:rPr>
        <w:t>Telitacicept’s dual inhibition of BAFF/APRIL provides a platform to address a broad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range of B cell-driven autoimmune diseases. We are evaluating opportunities to develop telitacicept in additional indications based on scientific rationale and unmet market need.</w:t>
      </w:r>
    </w:p>
    <w:p>
      <w:pPr>
        <w:spacing w:after="0" w:line="299" w:lineRule="exact"/>
        <w:rPr>
          <w:rFonts w:ascii="Times New Roman" w:cs="Times New Roman" w:eastAsia="Times New Roman" w:hAnsi="Times New Roman"/>
          <w:sz w:val="20"/>
          <w:szCs w:val="20"/>
          <w:b w:val="1"/>
          <w:bCs w:val="1"/>
          <w:color w:val="auto"/>
        </w:rPr>
      </w:pPr>
    </w:p>
    <w:p>
      <w:pPr>
        <w:ind w:right="260"/>
        <w:spacing w:after="0" w:line="261" w:lineRule="auto"/>
        <w:tabs>
          <w:tab w:leader="none" w:pos="7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Global Commercial Preparedness: </w:t>
      </w:r>
      <w:r>
        <w:rPr>
          <w:rFonts w:ascii="Times New Roman" w:cs="Times New Roman" w:eastAsia="Times New Roman" w:hAnsi="Times New Roman"/>
          <w:sz w:val="20"/>
          <w:szCs w:val="20"/>
          <w:color w:val="auto"/>
        </w:rPr>
        <w:t>With telitacicept already approved in China for SLE, RA and gMG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 registrational program underway in major global markets, we are building commercial capabilities and infrastructure to support potential launches.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Autoimmune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Generalized Myasthenia Gravis</w:t>
      </w:r>
    </w:p>
    <w:p>
      <w:pPr>
        <w:spacing w:after="0" w:line="11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gMG is a rare, chronic autoimmune neuromuscular disorder characterized by fluctuating skeletal muscle weakness resulting from pathogenic autoantibodies, most frequently the targeting components of the neuromuscular junction. These autoantibodies, about 85% of which are acetylcholine receptor (“AChR”) and 5 -8% of which are muscle-specific tyrosine kinase (“MuSK”), impair synaptic transmission, leading to a disabling and potentially life-threatening condition that requires long-term immunomodulation to control disease activity.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16" w:right="1440" w:bottom="175" w:gutter="0" w:footer="0" w:header="0"/>
        </w:sectPr>
      </w:pPr>
    </w:p>
    <w:bookmarkStart w:id="6" w:name="page7"/>
    <w:bookmarkEnd w:id="6"/>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gMG has a prevalence of approximately 150 to 250 individuals per million worldwide, with a rising incidence among aging populations. In the United States, based on a 2021 claims analysis, the prevalence is thought to be comparable to Europe at approximately 370 individuals per million, and it is estimated that approximately 100,000 individuals have MG in the United States.</w:t>
      </w:r>
    </w:p>
    <w:p>
      <w:pPr>
        <w:spacing w:after="0" w:line="7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treatment goals for gMG include achieving minimal symptoms while minimizing treatment side effects. Even with newer treatments, MG poses significant physical, psychological, and economic impacts despite available treatments, with potential for exacerbations, myasthenia crises which could be life threatening, and complications such as infections or autoimmune comorbidities. Drug therapy for gMG typically begins with acetylcholinesterase inhibitors (such as pyridostigmine). However, as acetylcholinesterase inhibitors may improve symptoms, they are often insufficient. Traditional immunosuppressive therapies, such as corticosteroids, azathioprine, and mycophenolate mofetil, remained first-line treatments for decades, despite their delayed onset of action, cumulative toxicity, and inconsistent disease control. Recent biologics have introduced targeted immune modulation with improved clinical outcomes. Currently there are two classes of biologics in clinical development that have already obtained approval: neonatal fragment crystallizable receptor (“FcRn”) antagonists and complement inhibitors.</w:t>
      </w:r>
    </w:p>
    <w:p>
      <w:pPr>
        <w:spacing w:after="0" w:line="8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FcRn antagonists enhance immunoglobulin G (“IgG”) catabolism and have demonstrated clinical benefit in AChR antibody positive patients. They are administered in cycles of four weeks or six weeks due to the deep reduction in IgG level, which increases the potential for severe infection. Complement inhibitors block terminal complement activation and have shown efficacy in reducing disease severity. However, complement inhibitors carry a black box warning on the label, which requires a Risk Evaluation and Mitigation Strategies (“REMS”) program requiring patients to be vaccinated to prevent serious brain infection prior to initiating the therapy. Most recently, a monoclonal antibody targeting CD19, depleting a broad range of B-cells, showed clinical benefit in Phase 3 clinical trials.</w:t>
      </w:r>
    </w:p>
    <w:p>
      <w:pPr>
        <w:spacing w:after="0" w:line="83"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However, none of these agents directly modulates the cytokine environment that sustains autoreactive B cells and plasma cells. B cell maturation and plasma cell survival are critically regulated by two cytokines of the TNF ligand superfamily: BAFF and APRIL. Elevated circulating levels of BAFF and APRIL have been detected in autoimmune diseases, including gMG. In gMG specifically, BAFF has been shown to be elevated in both serum and thymic tissues of patients with active disease and correlates with higher anti-AChR antibody titers.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3 Clinical Trial in patients with gMG in China</w:t>
      </w:r>
    </w:p>
    <w:p>
      <w:pPr>
        <w:spacing w:after="0" w:line="19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Telitacicept was evaluated by RemeGen in a Phase 3 clinical trial in patients with gMG in China. The trial enrolled 114 patients and consisted of a double-blind treatment period (“Part A”) and an open-label treatment period (“Part B”). In Part A, patients were randomized 1:1 to receive either subcutaneous telitacicept 240 mg or placebo once a week for 24 doses. After completing Part A, patients were automatically entered into Part B, in which all patients receive weekly subcutaneous telitacicept 240 mg for 24 weeks.</w:t>
      </w:r>
    </w:p>
    <w:p>
      <w:pPr>
        <w:spacing w:after="0" w:line="77"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The primary endpoint of the trial was change from baseline in the Myasthenia Gravis Activities of Daily Living (“MG-ADL”) score at week 24 of Part A. MG-ADL is an 8-item patient-reported scale that measures MG symptoms and functional status. Each item ranges from 0-3 for a total score range of 0-24. The MG-ADL scale quantifies the impact of MG symptoms on daily life quality, focusing on patients’ subjective experience and daily function. A secondary endpoint was change from baseline in the Quantitative Myasthenia Gravis (“QMG”) score, which is a 13-item scale used to quantify disease severity in MG, with total QMG scores ranging from 0 -39. The QMG score assesses the strength and endurance of the whole body muscle group, focusing on objective measurement. There is a strong correlation between MG-ADL and QMG in evaluating treatment response, and the combination of MG-ADL and QMG can comprehensively reflect the disease severity.</w:t>
      </w:r>
    </w:p>
    <w:p>
      <w:pPr>
        <w:spacing w:after="0" w:line="86" w:lineRule="exact"/>
        <w:rPr>
          <w:sz w:val="20"/>
          <w:szCs w:val="20"/>
          <w:color w:val="auto"/>
        </w:rPr>
      </w:pPr>
    </w:p>
    <w:p>
      <w:pPr>
        <w:ind w:right="360" w:firstLine="490"/>
        <w:spacing w:after="0" w:line="253" w:lineRule="auto"/>
        <w:rPr>
          <w:sz w:val="20"/>
          <w:szCs w:val="20"/>
          <w:color w:val="auto"/>
        </w:rPr>
      </w:pPr>
      <w:r>
        <w:rPr>
          <w:rFonts w:ascii="Times New Roman" w:cs="Times New Roman" w:eastAsia="Times New Roman" w:hAnsi="Times New Roman"/>
          <w:sz w:val="20"/>
          <w:szCs w:val="20"/>
          <w:color w:val="auto"/>
        </w:rPr>
        <w:t>The 24-week data from Part A of the Phase 3 trial were presented at the 2025 American Academy of Neurology (“AAN”) meeting in April 2025 and in European Academy of Neurology in June 2025. The 48-week data from Part B of the Phase 3 trial were presented at the American Association of Neuromuscular &amp; Electrodiagnostic Medicine (“AANEM”) Annual Meeting in October 2025. The data at week 48 demonstrated:</w:t>
      </w:r>
    </w:p>
    <w:p>
      <w:pPr>
        <w:spacing w:after="0" w:line="85" w:lineRule="exact"/>
        <w:rPr>
          <w:sz w:val="20"/>
          <w:szCs w:val="20"/>
          <w:color w:val="auto"/>
        </w:rPr>
      </w:pPr>
    </w:p>
    <w:p>
      <w:pPr>
        <w:jc w:val="both"/>
        <w:ind w:left="980" w:right="60" w:hanging="492"/>
        <w:spacing w:after="0" w:line="250" w:lineRule="auto"/>
        <w:tabs>
          <w:tab w:leader="none" w:pos="98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Patients on telitacicept throughout the trial achieved a -7.5 mean MG-ADL change from baseline, while placebo crossover patients achieved -6.3; 96.2% of continuous patients and 90.2% of crossover patients reached ≥3-point improvement.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20" w:right="1440" w:bottom="175" w:gutter="0" w:footer="0" w:header="0"/>
        </w:sectPr>
      </w:pPr>
    </w:p>
    <w:bookmarkStart w:id="7" w:name="page8"/>
    <w:bookmarkEnd w:id="7"/>
    <w:p>
      <w:pPr>
        <w:ind w:left="980" w:right="60" w:hanging="492"/>
        <w:spacing w:after="0" w:line="250" w:lineRule="auto"/>
        <w:tabs>
          <w:tab w:leader="none" w:pos="98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Patients on telitacicept throughout the trial achieved a -9.8 mean QMG change, while placebo crossover patients achieved -9.3; 94.2% of continuous patients and 90.2% of crossover patients reached ≥5-point improvement.</w:t>
      </w:r>
    </w:p>
    <w:p>
      <w:pPr>
        <w:spacing w:after="0" w:line="90" w:lineRule="exact"/>
        <w:rPr>
          <w:rFonts w:ascii="Symbol" w:cs="Symbol" w:eastAsia="Symbol" w:hAnsi="Symbol"/>
          <w:sz w:val="20"/>
          <w:szCs w:val="20"/>
          <w:color w:val="auto"/>
        </w:rPr>
      </w:pPr>
    </w:p>
    <w:p>
      <w:pPr>
        <w:ind w:left="980" w:right="260" w:hanging="492"/>
        <w:spacing w:after="0" w:line="246" w:lineRule="auto"/>
        <w:tabs>
          <w:tab w:leader="none" w:pos="98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Telitacicept demonstrated a favorable safety profile comparable to placebo and consistent with prior clinical trials and post-marketing data across other autoimmune indications, including SLE, RA, SjD, and IgAN. No new safety signals were observed. Most adverse events were mild to moderate in severity.</w:t>
      </w:r>
    </w:p>
    <w:p>
      <w:pPr>
        <w:spacing w:after="0" w:line="95" w:lineRule="exact"/>
        <w:rPr>
          <w:rFonts w:ascii="Symbol" w:cs="Symbol" w:eastAsia="Symbol" w:hAnsi="Symbol"/>
          <w:sz w:val="20"/>
          <w:szCs w:val="20"/>
          <w:color w:val="auto"/>
        </w:rPr>
      </w:pPr>
    </w:p>
    <w:p>
      <w:pPr>
        <w:jc w:val="both"/>
        <w:ind w:left="980" w:right="220" w:hanging="492"/>
        <w:spacing w:after="0" w:line="250" w:lineRule="auto"/>
        <w:tabs>
          <w:tab w:leader="none" w:pos="98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No injection site reactions were reported during the open label extension period in patients previously on telitacicept. Injection site reactions in placebo crossover patients were mild, self-resolving, and did not lead to discontinuation.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Phase 3 Clinical Trial in patients with gMG</w:t>
      </w:r>
    </w:p>
    <w:p>
      <w:pPr>
        <w:spacing w:after="0" w:line="237" w:lineRule="exact"/>
        <w:rPr>
          <w:sz w:val="20"/>
          <w:szCs w:val="20"/>
          <w:color w:val="auto"/>
        </w:rPr>
      </w:pPr>
    </w:p>
    <w:p>
      <w:pPr>
        <w:ind w:right="80" w:firstLine="612"/>
        <w:spacing w:after="0" w:line="243" w:lineRule="auto"/>
        <w:rPr>
          <w:sz w:val="20"/>
          <w:szCs w:val="20"/>
          <w:color w:val="auto"/>
        </w:rPr>
      </w:pPr>
      <w:r>
        <w:rPr>
          <w:rFonts w:ascii="Times New Roman" w:cs="Times New Roman" w:eastAsia="Times New Roman" w:hAnsi="Times New Roman"/>
          <w:sz w:val="20"/>
          <w:szCs w:val="20"/>
          <w:color w:val="auto"/>
        </w:rPr>
        <w:t>Telitacicept is currently being evaluated in a global Phase 3 clinical trial, for which we have assumed responsibility from RemeGen in connection with the license agreement, for the treatment of gMG. The trial is currently recruiting in North America, Europe, Latin America and Asia to support potential approval in the United States, Europe and Japan. In July 2024, the clinical trial enrolled a patient in the United States, the first in the global clinical trial. The trial is a randomized, double -blind, placebo controlled trial with an open-label extension period. The primary endpoint is change from baseline in MG-ADL at week 24. Key secondary endpoints include change from baseline in QMG score, proportion of patients achieving MG-ADL score reduction of at least 2 points, proportion of patients achieving QMG score reduction of at least 3 points at week 24 and change from baseline in MG Quality of Life (“MG-QOL15r”) scale at week 24. The MG-QoL15r is a 15 -item patient-reported outcome measure designed to assess quality of life in patients with MG. Each item in the scale is scored on a 0-2 point scale, with the total score ranging from 0 to 30. Higher scores indicate a more severe impact of the disease on aspects of the patient's life. A decrease from baseline score indicates improvement.</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Topline data from the trial is anticipated in the first half of 2027.</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Sjögren’s Disease</w:t>
      </w:r>
    </w:p>
    <w:p>
      <w:pPr>
        <w:spacing w:after="0" w:line="119"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SjD is a chronic, systemic autoimmune disorder characterized by lymphocytic infiltration and progressive dysfunction of exocrine glands, most notably the salivary and lacrimal glands, resulting in xerostomia (dry mouth) and keratoconjunctivitis sicca (dry eyes). In addition to glandular involvement, SjD is a heterogeneous, multi-organ disease that may affect the musculoskeletal, pulmonary, renal, neurologic and hematologic systems. The disease is associated with the production of pathogenic autoantibodies, most commonly Anti–Sjögren’s-syndrome-related antigen A ("anti-Ro/SSA") antibodies, and is driven in large part by B-cell hyperactivity and aberrant plasma cell survival. Chronic immune stimulation and persistent B-cell activation increase the risk of serious complications, including non-Hodgkin’s lymphoma.</w:t>
      </w:r>
    </w:p>
    <w:p>
      <w:pPr>
        <w:spacing w:after="0" w:line="8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SjD is one of the most prevalent systemic autoimmune diseases, with an estimated prevalence of more than 300,000 diagnosed patients in the United States alone, and epidemiology broadly comparable to systemic lupus erythematosus. The disease disproportionately affects women, typically in mid-life, and is often underdiagnosed due to heterogeneous presentation and overlap with other autoimmune conditions. Diagnosis is multifactorial and generally requires a combination of serologic markers (including anti-Ro/SSA positivity), objective measures of glandular dysfunction, and systemic disease activity assessments such as the EULAR Sjögren’s Syndrome Disease Activity Index (“ESSDAI”), a clinician-reported instrument that evaluates 12 organ domains to quantify systemic involvement, and EULAR Sjögren’s Syndrome Patient Reported Index (“ESSPRI”), a three-item patient-reported outcome measure designed to assess symptom severity in patients with Sjögren’s disease, including dryness, fatigue and pain.</w:t>
      </w:r>
    </w:p>
    <w:p>
      <w:pPr>
        <w:spacing w:after="0" w:line="81" w:lineRule="exact"/>
        <w:rPr>
          <w:sz w:val="20"/>
          <w:szCs w:val="20"/>
          <w:color w:val="auto"/>
        </w:rPr>
      </w:pPr>
    </w:p>
    <w:p>
      <w:pPr>
        <w:jc w:val="both"/>
        <w:ind w:firstLine="490"/>
        <w:spacing w:after="0" w:line="265" w:lineRule="auto"/>
        <w:rPr>
          <w:sz w:val="20"/>
          <w:szCs w:val="20"/>
          <w:color w:val="auto"/>
        </w:rPr>
      </w:pPr>
      <w:r>
        <w:rPr>
          <w:rFonts w:ascii="Times New Roman" w:cs="Times New Roman" w:eastAsia="Times New Roman" w:hAnsi="Times New Roman"/>
          <w:sz w:val="19"/>
          <w:szCs w:val="19"/>
          <w:color w:val="auto"/>
        </w:rPr>
        <w:t>The treatment goals for SjD include reducing systemic disease activity, preserving glandular function, preventing organ damage and lymphoma, and improving patient-reported symptoms such as dryness, fatigue, and pain. However, there are currently no approved disease-modifying therapies for SjD in the United States. Management is largely symptomatic and supportive, consisting of artificial tears and saliva substitutes for sicca symptoms and off-label use of immunomodulatory agents, including hydroxychloroquine, corticosteroids, mycophenolate mofetil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35" w:right="1440" w:bottom="175" w:gutter="0" w:footer="0" w:header="0"/>
        </w:sectPr>
      </w:pPr>
    </w:p>
    <w:bookmarkStart w:id="8" w:name="page9"/>
    <w:bookmarkEnd w:id="8"/>
    <w:p>
      <w:pPr>
        <w:jc w:val="both"/>
        <w:spacing w:after="0" w:line="278" w:lineRule="auto"/>
        <w:rPr>
          <w:sz w:val="20"/>
          <w:szCs w:val="20"/>
          <w:color w:val="auto"/>
        </w:rPr>
      </w:pPr>
      <w:r>
        <w:rPr>
          <w:rFonts w:ascii="Times New Roman" w:cs="Times New Roman" w:eastAsia="Times New Roman" w:hAnsi="Times New Roman"/>
          <w:sz w:val="20"/>
          <w:szCs w:val="20"/>
          <w:color w:val="auto"/>
        </w:rPr>
        <w:t>rituximab, for patients with systemic manifestations. These approaches are often limited by modest efficacy, delayed onset of action, cumulative toxicity, or inconsistent control of disease activity.</w:t>
      </w:r>
    </w:p>
    <w:p>
      <w:pPr>
        <w:spacing w:after="0" w:line="47"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Multiple targeted biologic approaches are in clinical development, primarily focused on B-cell biology. These include monoclonal antibodies targeting BAFF-R, CD40-CD40L signaling, and FcRn. FcRn antagonists reduce circulating immunoglobulin G levels and have demonstrated activity in mid-stage trials; however, they may not address other immunoglobulin isotypes or upstream drivers of B-cell dysregulation. CD40 pathway inhibitors aim to modulate T-cell and B-cell co-stimulation but have shown variable efficacy across studies. Anti-BAFF-R agents seek to reduce survival signals for autoreactive B cells, although earlier single-pathway approaches have yielded mixed clinical results. Most recently, a monoclonal antibody targeting BAFF-R showed relatively modest clinical benefit compared to placebo in Phase 3 clinical trials.</w:t>
      </w:r>
    </w:p>
    <w:p>
      <w:pPr>
        <w:spacing w:after="0" w:line="81"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Elevated levels of BAFF and APRIL have been observed in patients with SjD and correlate with disease activity and autoantibody production. Dual inhibition of BAFF and APRIL is designed to reduce survival signals for autoreactive B cells and long-lived plasma cells, thereby decreasing pathogenic autoantibody production while preserving broader immune function. We believe that upstream modulation of both pathways may offer the potential for deeper and more durable disease control compared to approaches that focus solely on IgG reduction or single cytokine blockade.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3 Clinical Trial in patients with SjD in China</w:t>
      </w:r>
    </w:p>
    <w:p>
      <w:pPr>
        <w:spacing w:after="0" w:line="198"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Telitacicept was evaluated by RemeGen in a Phase 3 clinical trial in patients with active SjD in China. The trial enrolled 381 patients and consisted of a 24-week double-blind treatment period (“Stage A”) followed by a 24-week double- blind extension period (“Stage B”). In Stage A, patients were randomized 1:1:1 to receive subcutaneous telitacicept 80 mg, telitacicept 160 mg, or placebo once weekly for 24 doses. After completing Stage A, patients automatically entered Stage B and maintained their original blinded treatment assignment, with placebo patients eligible for blinded re-randomization to telitacicept 80 mg or 160 mg if deemed non-responders by investigators.</w:t>
      </w:r>
    </w:p>
    <w:p>
      <w:pPr>
        <w:spacing w:after="0" w:line="80"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19"/>
          <w:szCs w:val="19"/>
          <w:color w:val="auto"/>
        </w:rPr>
        <w:t>The primary endpoint of the trial was change from baseline in the ESSDAI score at Week 24 of Stage A. Secondary endpoints included change from baseline in ClinESSDAI, a closely related index focused on clinical features without serologic components, as well as patient-reported outcomes and glandular function measures.</w:t>
      </w:r>
    </w:p>
    <w:p>
      <w:pPr>
        <w:spacing w:after="0" w:line="48"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The 48-week data including Stage A and B from the Phase 3 trial were presented at the American College of Rheumatology (“ACR”) Annual Meeting in October 2025. The data at week 48 demonstrated:</w:t>
      </w:r>
    </w:p>
    <w:p>
      <w:pPr>
        <w:spacing w:after="0" w:line="61" w:lineRule="exact"/>
        <w:rPr>
          <w:sz w:val="20"/>
          <w:szCs w:val="20"/>
          <w:color w:val="auto"/>
        </w:rPr>
      </w:pPr>
    </w:p>
    <w:p>
      <w:pPr>
        <w:ind w:left="980" w:right="160" w:hanging="492"/>
        <w:spacing w:after="0" w:line="250"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Mean change in ESSDAI: At week 24, -4.4 (160mg), -3.0 (80mg), and -0.6 (placebo); at week 48, -4.6 (160mg), -3.2 (80mg), and -0.4 (placebo), demonstrating durable, dose-dependent improvement in systemic disease activity.</w:t>
      </w:r>
    </w:p>
    <w:p>
      <w:pPr>
        <w:spacing w:after="0" w:line="90" w:lineRule="exact"/>
        <w:rPr>
          <w:rFonts w:ascii="Symbol" w:cs="Symbol" w:eastAsia="Symbol" w:hAnsi="Symbol"/>
          <w:sz w:val="20"/>
          <w:szCs w:val="20"/>
          <w:color w:val="auto"/>
        </w:rPr>
      </w:pPr>
    </w:p>
    <w:p>
      <w:pPr>
        <w:ind w:left="980" w:right="160" w:hanging="492"/>
        <w:spacing w:after="0" w:line="250"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Mean change in ESSPRI: At week 24, -1.88 (160mg), -1.31 (80mg), and -0.36 (placebo); at week 48, - 2.56 (160mg), -1.74 (80mg), and -0.41 (placebo), showing sustained symptomatic benefit in dryness, fatigue, and pain.</w:t>
      </w:r>
    </w:p>
    <w:p>
      <w:pPr>
        <w:spacing w:after="0" w:line="90" w:lineRule="exact"/>
        <w:rPr>
          <w:rFonts w:ascii="Symbol" w:cs="Symbol" w:eastAsia="Symbol" w:hAnsi="Symbol"/>
          <w:sz w:val="20"/>
          <w:szCs w:val="20"/>
          <w:color w:val="auto"/>
        </w:rPr>
      </w:pPr>
    </w:p>
    <w:p>
      <w:pPr>
        <w:ind w:left="980" w:right="180" w:hanging="492"/>
        <w:spacing w:after="0" w:line="262"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≥3-point ESSDAI improvement: At week 24, 71.8% (160mg), 47.1% (80mg), and 19.3% (placebo); at week 48, 73.0% (160 mg), 49.1% (80mg), and 16.5% (placebo).</w:t>
      </w:r>
    </w:p>
    <w:p>
      <w:pPr>
        <w:spacing w:after="0" w:line="75" w:lineRule="exact"/>
        <w:rPr>
          <w:rFonts w:ascii="Symbol" w:cs="Symbol" w:eastAsia="Symbol" w:hAnsi="Symbol"/>
          <w:sz w:val="20"/>
          <w:szCs w:val="20"/>
          <w:color w:val="auto"/>
        </w:rPr>
      </w:pPr>
    </w:p>
    <w:p>
      <w:pPr>
        <w:ind w:left="980" w:right="220" w:hanging="492"/>
        <w:spacing w:after="0" w:line="262"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Participants with ESSDAI &lt;5 (low disease activity): At week 24, 49.6% (160mg), 28.8% (80mg), and 10.9% (placebo); at week 48, 55.0% (160mg), 32.7% (80mg), and 12.2% (placebo).</w:t>
      </w:r>
    </w:p>
    <w:p>
      <w:pPr>
        <w:spacing w:after="0" w:line="75" w:lineRule="exact"/>
        <w:rPr>
          <w:rFonts w:ascii="Symbol" w:cs="Symbol" w:eastAsia="Symbol" w:hAnsi="Symbol"/>
          <w:sz w:val="20"/>
          <w:szCs w:val="20"/>
          <w:color w:val="auto"/>
        </w:rPr>
      </w:pPr>
    </w:p>
    <w:p>
      <w:pPr>
        <w:ind w:left="980" w:right="20" w:hanging="492"/>
        <w:spacing w:after="0" w:line="262"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Participants with ≥1-point or ≥15% ESSPRI reduction: At week 24, 86.2% (160mg), 63.0% (80mg), and 32.2% (placebo); at week 48, 89.1% (160mg), 75.4% (80mg), and 33.3% (placebo).</w:t>
      </w:r>
    </w:p>
    <w:p>
      <w:pPr>
        <w:spacing w:after="0" w:line="76" w:lineRule="exact"/>
        <w:rPr>
          <w:rFonts w:ascii="Symbol" w:cs="Symbol" w:eastAsia="Symbol" w:hAnsi="Symbol"/>
          <w:sz w:val="20"/>
          <w:szCs w:val="20"/>
          <w:color w:val="auto"/>
        </w:rPr>
      </w:pPr>
    </w:p>
    <w:p>
      <w:pPr>
        <w:jc w:val="both"/>
        <w:ind w:left="980" w:right="340" w:hanging="492"/>
        <w:spacing w:after="0" w:line="250"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 from baseline in MFI-20 total (fatigue): At weeks 24 and 48, telitacicept 160mg produced a statistically significant and clinically meaningful reduction in fatigue versus 80mg and placebo, with improvements sustained through the open-label extension period.</w:t>
      </w:r>
    </w:p>
    <w:p>
      <w:pPr>
        <w:spacing w:after="0" w:line="90" w:lineRule="exact"/>
        <w:rPr>
          <w:rFonts w:ascii="Symbol" w:cs="Symbol" w:eastAsia="Symbol" w:hAnsi="Symbol"/>
          <w:sz w:val="20"/>
          <w:szCs w:val="20"/>
          <w:color w:val="auto"/>
        </w:rPr>
      </w:pPr>
    </w:p>
    <w:p>
      <w:pPr>
        <w:ind w:left="980" w:right="160" w:hanging="492"/>
        <w:spacing w:after="0" w:line="247" w:lineRule="auto"/>
        <w:tabs>
          <w:tab w:leader="none" w:pos="98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Telitacicept demonstrated a favorable safety profile comparable to placebo and consistent with prior studies across other autoimmune indications, including systemic lupus erythematosus, rheumatoid arthritis, myasthenia gravis, and IgA nephropathy. No new safety signals were observed. Most adverse events were mild to moderate in severity.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20" w:right="1440" w:bottom="1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Global Phase 3 Clinical Trial in patients with SjD</w:t>
      </w:r>
    </w:p>
    <w:p>
      <w:pPr>
        <w:spacing w:after="0" w:line="117"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 xml:space="preserve">We have recently initiated a global Phase 3 clinical trial evaluating telitacicept for the treatment of SjD, with first patient dosing in March 2026. The trial anticipates recruiting approximately 250 adults with SjD in the United States, Europe, South America, and Asia. The trial is a randomized, double-blind, placebo-controlled trial. The primary endpoint is change from baseline in the ESSDAI score at week 48. Additional endpoints will evaluate the effect of telitacicept at week 48 across other measures of systemic disease activity, glandular function, and patient-reported symptoms, including change from baseline in ESSPRI score, stimulated whole salivary flow, unstimulated whole salivary flow, Schirmer’s test, Short Form Health Survey (SF-36) score, Functional Assessment of Chronic Illness Therapy- Fatigue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FACIT- F) score, as well as proportion of patients whose ESSDAI score is &lt;5 and ESSPRI score decreased from baseline by ≥ 1 or 15%.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Overview</w:t>
      </w:r>
    </w:p>
    <w:p>
      <w:pPr>
        <w:spacing w:after="0" w:line="117" w:lineRule="exact"/>
        <w:rPr>
          <w:sz w:val="20"/>
          <w:szCs w:val="20"/>
          <w:color w:val="auto"/>
        </w:rPr>
      </w:pPr>
    </w:p>
    <w:p>
      <w:pPr>
        <w:ind w:right="1040" w:firstLine="612"/>
        <w:spacing w:after="0" w:line="278" w:lineRule="auto"/>
        <w:rPr>
          <w:sz w:val="20"/>
          <w:szCs w:val="20"/>
          <w:color w:val="auto"/>
        </w:rPr>
      </w:pPr>
      <w:r>
        <w:rPr>
          <w:rFonts w:ascii="Times New Roman" w:cs="Times New Roman" w:eastAsia="Times New Roman" w:hAnsi="Times New Roman"/>
          <w:sz w:val="20"/>
          <w:szCs w:val="20"/>
          <w:color w:val="auto"/>
        </w:rPr>
        <w:t>Telitacicept has received Orphan Drug Designation (“ODD”) from both the U.S. Food and Drug Administration (“FDA”) and European Medicines Agency (“EMA”) for the treatment of gMG.</w:t>
      </w:r>
    </w:p>
    <w:p>
      <w:pPr>
        <w:spacing w:after="0" w:line="47" w:lineRule="exact"/>
        <w:rPr>
          <w:sz w:val="20"/>
          <w:szCs w:val="20"/>
          <w:color w:val="auto"/>
        </w:rPr>
      </w:pPr>
    </w:p>
    <w:p>
      <w:pPr>
        <w:jc w:val="both"/>
        <w:ind w:right="300" w:firstLine="612"/>
        <w:spacing w:after="0" w:line="259" w:lineRule="auto"/>
        <w:rPr>
          <w:sz w:val="20"/>
          <w:szCs w:val="20"/>
          <w:color w:val="auto"/>
        </w:rPr>
      </w:pPr>
      <w:r>
        <w:rPr>
          <w:rFonts w:ascii="Times New Roman" w:cs="Times New Roman" w:eastAsia="Times New Roman" w:hAnsi="Times New Roman"/>
          <w:sz w:val="20"/>
          <w:szCs w:val="20"/>
          <w:color w:val="auto"/>
        </w:rPr>
        <w:t>In January 2024, the FDA cleared the Investigational New Drug (“IND”) application for the global multi-center Phase 3 clinical trial of telitacicept for the treatment of adult patients with SjD. In March 2024, telitacicept received Fast-Track Designation (“FTD”) from the FDA for the treatment of adult patients with SjD.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Discontinued Clinical and Preclinical Development Programs</w:t>
      </w:r>
    </w:p>
    <w:p>
      <w:pPr>
        <w:spacing w:after="0" w:line="364" w:lineRule="exact"/>
        <w:rPr>
          <w:sz w:val="20"/>
          <w:szCs w:val="20"/>
          <w:color w:val="auto"/>
        </w:rPr>
      </w:pPr>
    </w:p>
    <w:p>
      <w:pPr>
        <w:ind w:right="20" w:firstLine="540"/>
        <w:spacing w:after="0" w:line="246" w:lineRule="auto"/>
        <w:rPr>
          <w:sz w:val="20"/>
          <w:szCs w:val="20"/>
          <w:color w:val="auto"/>
        </w:rPr>
      </w:pPr>
      <w:r>
        <w:rPr>
          <w:rFonts w:ascii="Times New Roman" w:cs="Times New Roman" w:eastAsia="Times New Roman" w:hAnsi="Times New Roman"/>
          <w:sz w:val="20"/>
          <w:szCs w:val="20"/>
          <w:color w:val="auto"/>
        </w:rPr>
        <w:t>Prior to our in-license of telitacicept from RemeGen, our efforts were focused on developing therapies to treat blood cancers by genetically engineering hematopoetic stem cells (“HSCs”) from healthy donors to remove therapeutic targets and introducing them into patients, thereby creating patients’ bone marrow and blood systems that are shielded from on-target toxicities from targeted therapies, and then coupling targeted therapies such as antibody drug conjugates or our own chimeric antigen receptor (“CAR”) T cell therapies with these shielded HSC transplants. On May 8, 2025, we announced the winddown of our prior clinical and manufacturing operations. Our discontinued clinical and preclinical development programs include the following:</w:t>
      </w:r>
    </w:p>
    <w:p>
      <w:pPr>
        <w:spacing w:after="0" w:line="94" w:lineRule="exact"/>
        <w:rPr>
          <w:sz w:val="20"/>
          <w:szCs w:val="20"/>
          <w:color w:val="auto"/>
        </w:rPr>
      </w:pPr>
    </w:p>
    <w:p>
      <w:pPr>
        <w:ind w:left="720" w:right="200" w:hanging="360"/>
        <w:spacing w:after="0" w:line="247"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Trem-cel: Tremtelectogene empogeditemcel (trem-cel) is a genome-edited hematopoietic stem and progenitor allogeneic donor product candidate where CD33 has been deleted using genome engineering. We were previously evaluating trem-cel in a Phase 1/2a clinical trial (VBP101) in patients with CD33-positive acute myeloid leukemia (“AML”) or myelodysplastic syndrome (“MDS”) at high risk of relapse.</w:t>
      </w:r>
    </w:p>
    <w:p>
      <w:pPr>
        <w:spacing w:after="0" w:line="92" w:lineRule="exact"/>
        <w:rPr>
          <w:rFonts w:ascii="Symbol" w:cs="Symbol" w:eastAsia="Symbol" w:hAnsi="Symbol"/>
          <w:sz w:val="20"/>
          <w:szCs w:val="20"/>
          <w:color w:val="auto"/>
        </w:rPr>
      </w:pPr>
    </w:p>
    <w:p>
      <w:pPr>
        <w:ind w:left="720" w:right="80" w:hanging="360"/>
        <w:spacing w:after="0" w:line="247"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VCAR33: VCAR33 is manufactured from lymphocytes collected from the patient’s original transplant donor, generating a CAR-T cell therapy that is exactly matched to the recipient’s engrafted blood system. We were previously evaluating VCAR33 in a Phase 1/2 clinical trial (VBP301) in patients with relapsed or refractory AML after standard-of-care transplant or a trem-cel transplant.</w:t>
      </w:r>
    </w:p>
    <w:p>
      <w:pPr>
        <w:spacing w:after="0" w:line="91" w:lineRule="exact"/>
        <w:rPr>
          <w:rFonts w:ascii="Symbol" w:cs="Symbol" w:eastAsia="Symbol" w:hAnsi="Symbol"/>
          <w:sz w:val="20"/>
          <w:szCs w:val="20"/>
          <w:color w:val="auto"/>
        </w:rPr>
      </w:pPr>
    </w:p>
    <w:p>
      <w:pPr>
        <w:ind w:left="720" w:right="100" w:hanging="360"/>
        <w:spacing w:after="0" w:line="245"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Preclinical Programs: Our previous preclinical programs included exploring trem-cel in combination with VCAR33 utilizing cells from the same healthy donor for both trem-cel and VCAR33, which we referred to as the trem-cel+VCAR33 Treatment System; VADC45, an antibody drug conjugate that targets the CD45 protein; and a CD33-CLL1 multiplex-edited HSC therapy in combination with a CD33-CLL1 multi-specific CAR-T therapy, which we referred to as the CD33-CLL1 Treatment System.</w:t>
      </w:r>
    </w:p>
    <w:p>
      <w:pPr>
        <w:spacing w:after="0" w:line="311"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In August and September 2025, we sold certain intellectual property related to trem-cel, VCAR33 and VADC45 and assigned certain license agreements related to these product candidates to the buyers, including the exclusive license agreement with The Trustees of Columbia University in the City of New York and patent license agreement with the U.S. Department of Health and Human Services, as represented by National Cancer Institute of the National Institutes of Health.</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123" w:lineRule="exact"/>
        <w:rPr>
          <w:sz w:val="20"/>
          <w:szCs w:val="20"/>
          <w:color w:val="auto"/>
        </w:rPr>
      </w:pPr>
    </w:p>
    <w:p>
      <w:pPr>
        <w:ind w:right="140" w:firstLine="612"/>
        <w:spacing w:after="0" w:line="305" w:lineRule="auto"/>
        <w:rPr>
          <w:sz w:val="20"/>
          <w:szCs w:val="20"/>
          <w:color w:val="auto"/>
        </w:rPr>
      </w:pPr>
      <w:r>
        <w:rPr>
          <w:rFonts w:ascii="Times New Roman" w:cs="Times New Roman" w:eastAsia="Times New Roman" w:hAnsi="Times New Roman"/>
          <w:sz w:val="19"/>
          <w:szCs w:val="19"/>
          <w:color w:val="auto"/>
        </w:rPr>
        <w:t>On March 26, 2026, we entered into a securities purchase agreement (the “Purchase Agreement”) with entities affiliated with TCGX pursuant to which we agreed to issue and sell, in a private placement, an aggregate 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2" w:right="1440" w:bottom="175" w:gutter="0" w:footer="0" w:header="0"/>
        </w:sectPr>
      </w:pPr>
    </w:p>
    <w:bookmarkStart w:id="10" w:name="page11"/>
    <w:bookmarkEnd w:id="10"/>
    <w:p>
      <w:pPr>
        <w:ind w:right="40"/>
        <w:spacing w:after="0" w:line="249" w:lineRule="auto"/>
        <w:rPr>
          <w:sz w:val="20"/>
          <w:szCs w:val="20"/>
          <w:color w:val="auto"/>
        </w:rPr>
      </w:pPr>
      <w:r>
        <w:rPr>
          <w:rFonts w:ascii="Times New Roman" w:cs="Times New Roman" w:eastAsia="Times New Roman" w:hAnsi="Times New Roman"/>
          <w:sz w:val="20"/>
          <w:szCs w:val="20"/>
          <w:color w:val="auto"/>
        </w:rPr>
        <w:t>5,338,078 shares (the “Shares”) of common stock, at a price per Share of $14.05, for gross proceeds of approximately $75.0 million (the “2026 Private Placement”). The purchase agreement contains customary representations and warranties of the Company, on the one hand, and the investors, on the other hand, and customary conditions to closing. The closing of the 2026 Private Placement is expected to occur on March 30, 2026, subject to satisfaction of closing conditions.</w:t>
      </w:r>
    </w:p>
    <w:p>
      <w:pPr>
        <w:spacing w:after="0" w:line="77" w:lineRule="exact"/>
        <w:rPr>
          <w:sz w:val="20"/>
          <w:szCs w:val="20"/>
          <w:color w:val="auto"/>
        </w:rPr>
      </w:pPr>
    </w:p>
    <w:p>
      <w:pPr>
        <w:ind w:right="180" w:firstLine="612"/>
        <w:spacing w:after="0" w:line="258" w:lineRule="auto"/>
        <w:rPr>
          <w:sz w:val="20"/>
          <w:szCs w:val="20"/>
          <w:color w:val="auto"/>
        </w:rPr>
      </w:pPr>
      <w:r>
        <w:rPr>
          <w:rFonts w:ascii="Times New Roman" w:cs="Times New Roman" w:eastAsia="Times New Roman" w:hAnsi="Times New Roman"/>
          <w:sz w:val="19"/>
          <w:szCs w:val="19"/>
          <w:color w:val="auto"/>
        </w:rPr>
        <w:t>In connection with the 2026 Private Placement, we also entered into a registration rights agreement, dated March 26, 2026 (the “Registration Rights Agreement”), with the investors in the 2026 Private Placement. Pursuant to the terms of the Registration Rights Agreement, we agreed to prepare and file with the Securities and Exchange Commission (“SEC”) a registration statement on Form S-3 (the “Private Placement Registration Statement”) to register for resale the Shares within 30 days of the closing date of the 2026 Private Placement and to use our reasonable best efforts to have the Private Placement Registration Statement declared effective at the earliest possible date, but no later than 60 days after the closing date of the 2026 Private Placement, subject to extension under the terms of the Registration Rights Agreement. The Registration Rights Agreement provides for liquidated damages if we fail to meet certain filing or effectiveness deadlines, subject to specified caps. The Registration Rights Agreement includes customary provisions regarding payment of fees and expenses and indemnification.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23" w:lineRule="exact"/>
        <w:rPr>
          <w:sz w:val="20"/>
          <w:szCs w:val="20"/>
          <w:color w:val="auto"/>
        </w:rPr>
      </w:pPr>
    </w:p>
    <w:p>
      <w:pPr>
        <w:ind w:right="40" w:firstLine="612"/>
        <w:spacing w:after="0" w:line="247" w:lineRule="auto"/>
        <w:rPr>
          <w:sz w:val="20"/>
          <w:szCs w:val="20"/>
          <w:color w:val="auto"/>
        </w:rPr>
      </w:pPr>
      <w:r>
        <w:rPr>
          <w:rFonts w:ascii="Times New Roman" w:cs="Times New Roman" w:eastAsia="Times New Roman" w:hAnsi="Times New Roman"/>
          <w:sz w:val="20"/>
          <w:szCs w:val="20"/>
          <w:color w:val="auto"/>
        </w:rPr>
        <w:t>Given our stage of development, we have not yet established a commercial organization or distribution capabilities. We plan to build focused capabilities in various regions worldwide (the United States, South America, Europe, Japan, the Middle East and North Africa) to commercialize our product candidate, if approved. We plan to focus our efforts in these regions because we believe the patient populations and medical specialists for the indications we are targeting are sufficiently concentrated to allow us to effectively promote our product candidate, if approved for commercial sale, with a targeted sales team.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ind w:right="200" w:firstLine="612"/>
        <w:spacing w:after="0" w:line="244" w:lineRule="auto"/>
        <w:rPr>
          <w:sz w:val="20"/>
          <w:szCs w:val="20"/>
          <w:color w:val="auto"/>
        </w:rPr>
      </w:pPr>
      <w:r>
        <w:rPr>
          <w:rFonts w:ascii="Times New Roman" w:cs="Times New Roman" w:eastAsia="Times New Roman" w:hAnsi="Times New Roman"/>
          <w:sz w:val="20"/>
          <w:szCs w:val="20"/>
          <w:color w:val="auto"/>
        </w:rPr>
        <w:t>We plan to rely on third-party contract manufacturers for clinical manufacturing of required raw materials, manufacturing devices, active pharmaceutical ingredients and finished product for our research and clinical manufacturing. We do not have long-term agreements with any of these third parties. We also do not have any current contractual relationship for the manufacture of material for clinical trials beyond Phase 3 or commercial supplies. We intend to enter into agreements with third-party contract manufacturers and one or more backup manufacturers for future production. We continue to analyze the feasibility of building manufacturing capabilities for future development and commercial quantities of any products that we develop. Such products will need to be manufactured in facilities, and by processes, that comply with the requirements of the FDA and the regulatory authorities of other jurisdictions in which we are seeking approval.</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3" w:lineRule="exact"/>
        <w:rPr>
          <w:sz w:val="20"/>
          <w:szCs w:val="20"/>
          <w:color w:val="auto"/>
        </w:rPr>
      </w:pPr>
    </w:p>
    <w:p>
      <w:pPr>
        <w:ind w:right="20" w:firstLine="612"/>
        <w:spacing w:after="0" w:line="252" w:lineRule="auto"/>
        <w:rPr>
          <w:sz w:val="20"/>
          <w:szCs w:val="20"/>
          <w:color w:val="auto"/>
        </w:rPr>
      </w:pPr>
      <w:r>
        <w:rPr>
          <w:rFonts w:ascii="Times New Roman" w:cs="Times New Roman" w:eastAsia="Times New Roman" w:hAnsi="Times New Roman"/>
          <w:sz w:val="20"/>
          <w:szCs w:val="20"/>
          <w:color w:val="auto"/>
        </w:rPr>
        <w:t>The autoimmune field is a competitive landscape involving multiple fusion protein class members (atacicept, povetacicept), monoclonal antibodies, other biologics, chimeric antigen receptor (CAR) T cells and small molecules either already marketed or in development by many different companies including, but not limited to Alexion, Amgen, Argenx, Dianthus, Johnson &amp; Johnson, UCB, and Vertex.</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Reverse Stock Split</w:t>
      </w:r>
    </w:p>
    <w:p>
      <w:pPr>
        <w:spacing w:after="0" w:line="123"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On September 18, 2025, the Company effected a 1-for-20 reverse stock split of its common stock. The par value and the number of authorized shares of common stock were not adjusted as a result of the reverse stock split. All share and per share amounts for all periods presented in this Annual Report, including the consolidated financial statements and the notes thereto, have been adjusted retroactively, where applicable, to reflect the effect of this reverse stock split.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Telitacicept License Agreement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0" w:right="1440" w:bottom="175" w:gutter="0" w:footer="0" w:header="0"/>
        </w:sectPr>
      </w:pPr>
    </w:p>
    <w:bookmarkStart w:id="11" w:name="page12"/>
    <w:bookmarkEnd w:id="11"/>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June 2025, we entered into a license agreement with RemeGen (the “Telitacicept License Agreement”) granting us an exclusive (even as to RemeGen) license under RemeGen’s patents and know-how to exploit, develop and commercialize telitacicept and related products in all territories other than Greater China, with the right to grant sublicenses. We also received a non-exclusive license to manufacture the licensed products worldwide solely for use in the licensed territory. In exchange, RemeGen received an exclusive, perpetual and irrevocable license under our intellectual property to exploit and manufacture the licensed products in Greater China, as well as a non-exclusive, fully paid-up license to manufacture the licensed products worldwide for use in Greater China. We are responsible for all development, regulatory and commercialization activities and costs in the licensed territory, including the conduct of clinical trials and regulatory submissions.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consideration for the Telitacicept License Agreement, we paid RemeGen an upfront payment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 million, consisting of a cash payment of $45 million and the issuance of $80 million in equity to a subsidiary</w:t>
      </w:r>
    </w:p>
    <w:p>
      <w:pPr>
        <w:spacing w:after="0"/>
        <w:rPr>
          <w:sz w:val="20"/>
          <w:szCs w:val="20"/>
          <w:color w:val="auto"/>
        </w:rPr>
      </w:pPr>
      <w:r>
        <w:rPr>
          <w:rFonts w:ascii="Times New Roman" w:cs="Times New Roman" w:eastAsia="Times New Roman" w:hAnsi="Times New Roman"/>
          <w:sz w:val="20"/>
          <w:szCs w:val="20"/>
          <w:color w:val="auto"/>
        </w:rPr>
        <w:t>of RemeGen in the form of a warrant to purchase 16,000,000 shares of our common stock at an exercise price of</w:t>
      </w:r>
    </w:p>
    <w:p>
      <w:pPr>
        <w:spacing w:after="0"/>
        <w:rPr>
          <w:sz w:val="20"/>
          <w:szCs w:val="20"/>
          <w:color w:val="auto"/>
        </w:rPr>
      </w:pPr>
      <w:r>
        <w:rPr>
          <w:rFonts w:ascii="Times New Roman" w:cs="Times New Roman" w:eastAsia="Times New Roman" w:hAnsi="Times New Roman"/>
          <w:sz w:val="20"/>
          <w:szCs w:val="20"/>
          <w:color w:val="auto"/>
        </w:rPr>
        <w:t>$0.0001 per share. RemeGen is eligible to receive up to $330 million in regulatory milestone payments and up to</w:t>
      </w:r>
    </w:p>
    <w:p>
      <w:pPr>
        <w:spacing w:after="0"/>
        <w:rPr>
          <w:sz w:val="20"/>
          <w:szCs w:val="20"/>
          <w:color w:val="auto"/>
        </w:rPr>
      </w:pPr>
      <w:r>
        <w:rPr>
          <w:rFonts w:ascii="Times New Roman" w:cs="Times New Roman" w:eastAsia="Times New Roman" w:hAnsi="Times New Roman"/>
          <w:sz w:val="20"/>
          <w:szCs w:val="20"/>
          <w:color w:val="auto"/>
        </w:rPr>
        <w:t>$3.775 billion in sales milestone payments. In addition, RemeGen is entitled to receive tiered royalties on net sales</w:t>
      </w:r>
    </w:p>
    <w:p>
      <w:pPr>
        <w:spacing w:after="0"/>
        <w:rPr>
          <w:sz w:val="20"/>
          <w:szCs w:val="20"/>
          <w:color w:val="auto"/>
        </w:rPr>
      </w:pPr>
      <w:r>
        <w:rPr>
          <w:rFonts w:ascii="Times New Roman" w:cs="Times New Roman" w:eastAsia="Times New Roman" w:hAnsi="Times New Roman"/>
          <w:sz w:val="20"/>
          <w:szCs w:val="20"/>
          <w:color w:val="auto"/>
        </w:rPr>
        <w:t>of the licensed products in the licensed territory, ranging from high single digit to mid-teen percentages of net sales,</w:t>
      </w:r>
    </w:p>
    <w:p>
      <w:pPr>
        <w:spacing w:after="0"/>
        <w:rPr>
          <w:sz w:val="20"/>
          <w:szCs w:val="20"/>
          <w:color w:val="auto"/>
        </w:rPr>
      </w:pPr>
      <w:r>
        <w:rPr>
          <w:rFonts w:ascii="Times New Roman" w:cs="Times New Roman" w:eastAsia="Times New Roman" w:hAnsi="Times New Roman"/>
          <w:sz w:val="20"/>
          <w:szCs w:val="20"/>
          <w:color w:val="auto"/>
        </w:rPr>
        <w:t>subject to customary reductions. If we enter into a sublicense or divest rights to the licensed products prior to a</w:t>
      </w:r>
    </w:p>
    <w:p>
      <w:pPr>
        <w:spacing w:after="0"/>
        <w:rPr>
          <w:sz w:val="20"/>
          <w:szCs w:val="20"/>
          <w:color w:val="auto"/>
        </w:rPr>
      </w:pPr>
      <w:r>
        <w:rPr>
          <w:rFonts w:ascii="Times New Roman" w:cs="Times New Roman" w:eastAsia="Times New Roman" w:hAnsi="Times New Roman"/>
          <w:sz w:val="20"/>
          <w:szCs w:val="20"/>
          <w:color w:val="auto"/>
        </w:rPr>
        <w:t>specified development event and other than in connection with a change of control, RemeGen is entitled to receive a</w:t>
      </w:r>
    </w:p>
    <w:p>
      <w:pPr>
        <w:spacing w:after="0"/>
        <w:rPr>
          <w:sz w:val="20"/>
          <w:szCs w:val="20"/>
          <w:color w:val="auto"/>
        </w:rPr>
      </w:pPr>
      <w:r>
        <w:rPr>
          <w:rFonts w:ascii="Times New Roman" w:cs="Times New Roman" w:eastAsia="Times New Roman" w:hAnsi="Times New Roman"/>
          <w:sz w:val="20"/>
          <w:szCs w:val="20"/>
          <w:color w:val="auto"/>
        </w:rPr>
        <w:t>single digit percentage of certain net proceeds from such transaction.</w:t>
      </w:r>
    </w:p>
    <w:p>
      <w:pPr>
        <w:spacing w:after="0" w:line="91"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Telitacicept License Agreement may be terminated, in its entirety or on a region-by-region basis, by either party for material breach (subject to cure periods and dispute resolution) or insolvency of the other party, by us for convenience with advance notice, or by RemeGen if we challenge the validity of licensed patents. Upon termination, all rights and licenses in the terminated region will revert to RemeGen, with a wind-down period for us to cease activities.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3" w:lineRule="exact"/>
        <w:rPr>
          <w:sz w:val="20"/>
          <w:szCs w:val="20"/>
          <w:color w:val="auto"/>
        </w:rPr>
      </w:pPr>
    </w:p>
    <w:p>
      <w:pPr>
        <w:ind w:right="440" w:firstLine="720"/>
        <w:spacing w:after="0" w:line="252" w:lineRule="auto"/>
        <w:rPr>
          <w:sz w:val="20"/>
          <w:szCs w:val="20"/>
          <w:color w:val="auto"/>
        </w:rPr>
      </w:pPr>
      <w:r>
        <w:rPr>
          <w:rFonts w:ascii="Times New Roman" w:cs="Times New Roman" w:eastAsia="Times New Roman" w:hAnsi="Times New Roman"/>
          <w:sz w:val="20"/>
          <w:szCs w:val="20"/>
          <w:color w:val="auto"/>
        </w:rPr>
        <w:t>The patent portfolio licensed from RemeGen includes a first patent family directed to the telitacicept composition of matter, with a granted patent in each of the United States, China, Europe, Japan, Korea, Russia, Brazil, and India. The patents granted in this family outside of China are expected to expire in 2028, absent any applicable patent term extensions.</w:t>
      </w:r>
    </w:p>
    <w:p>
      <w:pPr>
        <w:spacing w:after="0" w:line="7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Three additional families licensed from RemeGen are directed to formulations of telitacicept. A first family covering aqueous liquid formulations includes applications pending in the United States, Canada, Brazil, India, Singapore, Korea, and Hong Kong with granted patents in each of the United States, Australia, Russia, China, Japan, and Europe. Any patents that grant from applications claiming priority to this patent family would be expected to expire in 2040, absent any applicable patent term extensions.</w:t>
      </w:r>
    </w:p>
    <w:p>
      <w:pPr>
        <w:spacing w:after="0" w:line="7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A second family covering liquid preparations includes applications pending in the United States, Canada, Russia, Australia, Europe, India, Brazil, Japan, China, Indonesia, Mexico, Korea, Israel, and Singapore, with a granted patent in Taiwan. Any patents that grant from applications claiming priority to this patent family would be expected to expire in 2043, absent any applicable patent term extensions. A third family covering protected liquid formulations of telitacicept includes a pending PCT international application. Any patents that grant from applications claiming priority to this patent family would be expected to expire in 2044, absent any applicable patent term extensions.</w:t>
      </w:r>
    </w:p>
    <w:p>
      <w:pPr>
        <w:spacing w:after="0" w:line="8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Nine additional families licensed from RemeGen are directed to methods and uses of telitacicept for the treatment of specific conditions. A first family covering the treatment of systemic lupus erythematosus includes applications filed in the United States, Canada, Korea, and Singapore, with granted patents in Russia and Australia. Any patents that grant from applications claiming priority to this patent family would be expected to expire in 2039, absent any applicable patent term extensions.</w:t>
      </w:r>
    </w:p>
    <w:p>
      <w:pPr>
        <w:spacing w:after="0" w:line="7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 second family covering the treatment of IgA nephropathy includes applications filed in the United States, Russia, Australia, Canada, Brazil, Europe, Korea, Singapore, Hong Kong, and Taiwan, with a granted patent in Japan. A third family covering the treatment of Sjogren's syndrome includes applications filed in the United States, Australia, Canada, Brazil, Europe, Korea, Japan, Singapore, China, Hong Kong, and Taiwan, with a granted patent in Russia. Any patents that grant from applications claiming priority to these patent families would be expected to expire in 2042, absent any applicable patent term extensions.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0" w:right="1440" w:bottom="175" w:gutter="0" w:footer="0" w:header="0"/>
        </w:sectPr>
      </w:pPr>
    </w:p>
    <w:bookmarkStart w:id="12" w:name="page13"/>
    <w:bookmarkEnd w:id="12"/>
    <w:p>
      <w:pPr>
        <w:ind w:right="180" w:firstLine="720"/>
        <w:spacing w:after="0" w:line="260" w:lineRule="auto"/>
        <w:rPr>
          <w:sz w:val="20"/>
          <w:szCs w:val="20"/>
          <w:color w:val="auto"/>
        </w:rPr>
      </w:pPr>
      <w:r>
        <w:rPr>
          <w:rFonts w:ascii="Times New Roman" w:cs="Times New Roman" w:eastAsia="Times New Roman" w:hAnsi="Times New Roman"/>
          <w:sz w:val="19"/>
          <w:szCs w:val="19"/>
          <w:color w:val="auto"/>
        </w:rPr>
        <w:t>A fourth family covering the treatment of myasthenia gravis includes applications filed in the United States, Canada, Australia, Russia, Europe, Brazil, Japan, China, Singapore, Korea, Indonesia, Mexico, Israel, and Hong Kong, with a granted patent in Taiwan. A fifth family covering the treatment of membranous nephropathy includes applications filed in the United States, Taiwan, China, Europe, and Japan. Any patents that grant from applications claiming priority to these patent families would be expected to expire in 2043, absent any applicable patent term extensions. A sixth family covering the treatment of ANCA-associated vasculitis includes applications filed in the United States, Europe, Japan, Taiwan, and China. Any patents that grant from applications claiming priority to these patent families would be expected to expire in 2044, absent any applicable patent term extensions.</w:t>
      </w:r>
    </w:p>
    <w:p>
      <w:pPr>
        <w:spacing w:after="0" w:line="6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A seventh family covering the treatment of antibody-mediated rejection includes a pending PCT international application and applications in Taiwan and China. Any patents that grant from applications claiming priority to these patent families would be expected to expire in 2044, absent any applicable patent term extensions. An eighth family covering the treatment of autoimmune encephalitis includes a pending PCT international application and an application in China. Any patents that grant from applications claiming priority to these patent families would be expected to expire in 2044, absent any applicable patent term extensions. A ninth family covering the treatment of antiphospholipid syndrome includes a pending PCT international application. Any patents that grant from applications claiming priority to these patent families would be expected to expire in 2045, absent any applicable patent term extensions.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Approval in the United States</w:t>
      </w:r>
    </w:p>
    <w:p>
      <w:pPr>
        <w:spacing w:after="0" w:line="119" w:lineRule="exact"/>
        <w:rPr>
          <w:sz w:val="20"/>
          <w:szCs w:val="20"/>
          <w:color w:val="auto"/>
        </w:rPr>
      </w:pPr>
    </w:p>
    <w:p>
      <w:pPr>
        <w:ind w:firstLine="612"/>
        <w:spacing w:after="0" w:line="243" w:lineRule="auto"/>
        <w:rPr>
          <w:sz w:val="20"/>
          <w:szCs w:val="20"/>
          <w:color w:val="auto"/>
        </w:rPr>
      </w:pPr>
      <w:r>
        <w:rPr>
          <w:rFonts w:ascii="Times New Roman" w:cs="Times New Roman" w:eastAsia="Times New Roman" w:hAnsi="Times New Roman"/>
          <w:sz w:val="20"/>
          <w:szCs w:val="20"/>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 approval monitoring and reporting, sampling, and import and export of pharmaceutical products. Biological products used for the prevention, treatment or cure of a disease or condition of a human being are subject to regulation under the FDCA, except that they are approved, or licensed, for marketing under provisions of the Public Health Service Act (“PHSA”) via a BLA. The application process and requirements for approval of BLAs for reference biological products are similar to those for New Drug Applications for new chemical entities. Failure to comply with applicable U.S. requirements may subject a company to a variety of administrative or judicial sanctions, such as clinical hold, FDA refusal to approve pending BLAs, warning or untitled letters, product recalls, product seizures, total or partial suspension of production or distribution, injunctions, fines, civil penalties, and criminal prosecution.</w:t>
      </w:r>
    </w:p>
    <w:p>
      <w:pPr>
        <w:spacing w:after="0" w:line="86" w:lineRule="exact"/>
        <w:rPr>
          <w:sz w:val="20"/>
          <w:szCs w:val="20"/>
          <w:color w:val="auto"/>
        </w:rPr>
      </w:pPr>
    </w:p>
    <w:p>
      <w:pPr>
        <w:ind w:right="400" w:firstLine="612"/>
        <w:spacing w:after="0" w:line="258" w:lineRule="auto"/>
        <w:rPr>
          <w:sz w:val="20"/>
          <w:szCs w:val="20"/>
          <w:color w:val="auto"/>
        </w:rPr>
      </w:pPr>
      <w:r>
        <w:rPr>
          <w:rFonts w:ascii="Times New Roman" w:cs="Times New Roman" w:eastAsia="Times New Roman" w:hAnsi="Times New Roman"/>
          <w:sz w:val="20"/>
          <w:szCs w:val="20"/>
          <w:color w:val="auto"/>
        </w:rPr>
        <w:t>Our investigational medicines and any future investigational medicines must be approved by the FDA pursuant to a BLA before they may be legally marketed in the United States. The process generally involves the following:</w:t>
      </w:r>
    </w:p>
    <w:p>
      <w:pPr>
        <w:spacing w:after="0" w:line="83" w:lineRule="exact"/>
        <w:rPr>
          <w:sz w:val="20"/>
          <w:szCs w:val="20"/>
          <w:color w:val="auto"/>
        </w:rPr>
      </w:pPr>
    </w:p>
    <w:p>
      <w:pPr>
        <w:jc w:val="both"/>
        <w:ind w:left="980" w:right="720" w:hanging="492"/>
        <w:spacing w:after="0" w:line="250" w:lineRule="auto"/>
        <w:tabs>
          <w:tab w:leader="none" w:pos="9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completion of extensive preclinical laboratory and animal studies in accordance with applicable regulations, including studies conducted in accordance with good laboratory practices (“GLP”) requirements;</w:t>
      </w:r>
    </w:p>
    <w:p>
      <w:pPr>
        <w:spacing w:after="0" w:line="90" w:lineRule="exact"/>
        <w:rPr>
          <w:rFonts w:ascii="Symbol" w:cs="Symbol" w:eastAsia="Symbol" w:hAnsi="Symbol"/>
          <w:sz w:val="20"/>
          <w:szCs w:val="20"/>
          <w:color w:val="auto"/>
        </w:rPr>
      </w:pPr>
    </w:p>
    <w:p>
      <w:pPr>
        <w:ind w:left="980" w:right="540" w:hanging="492"/>
        <w:spacing w:after="0" w:line="261" w:lineRule="auto"/>
        <w:tabs>
          <w:tab w:leader="none" w:pos="9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the FDA of an Investigational New Drug Application (“IND”), which must become effective before human clinical trials may begin;</w:t>
      </w:r>
    </w:p>
    <w:p>
      <w:pPr>
        <w:spacing w:after="0" w:line="77" w:lineRule="exact"/>
        <w:rPr>
          <w:rFonts w:ascii="Symbol" w:cs="Symbol" w:eastAsia="Symbol" w:hAnsi="Symbol"/>
          <w:sz w:val="20"/>
          <w:szCs w:val="20"/>
          <w:color w:val="auto"/>
        </w:rPr>
      </w:pPr>
    </w:p>
    <w:p>
      <w:pPr>
        <w:ind w:left="980" w:right="60" w:hanging="492"/>
        <w:spacing w:after="0" w:line="262" w:lineRule="auto"/>
        <w:tabs>
          <w:tab w:leader="none" w:pos="98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approval of the protocol and related documents by an institutional review board (“IRB”) or independent ethics committee at each clinical trial site before each clinical trial may be commenced;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sectPr>
      </w:pPr>
    </w:p>
    <w:bookmarkStart w:id="13" w:name="page14"/>
    <w:bookmarkEnd w:id="13"/>
    <w:p>
      <w:pPr>
        <w:ind w:left="980" w:right="280" w:hanging="492"/>
        <w:spacing w:after="0" w:line="250"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adequate and well controlled human clinical trials in accordance with applicable IND regulations, GCP requirements and other clinical trial-related regulations to establish the safety and efficacy of the investigational product for each proposed indication;</w:t>
      </w:r>
    </w:p>
    <w:p>
      <w:pPr>
        <w:spacing w:after="0" w:line="90" w:lineRule="exact"/>
        <w:rPr>
          <w:rFonts w:ascii="Symbol" w:cs="Symbol" w:eastAsia="Symbol" w:hAnsi="Symbol"/>
          <w:sz w:val="20"/>
          <w:szCs w:val="20"/>
          <w:color w:val="auto"/>
        </w:rPr>
      </w:pPr>
    </w:p>
    <w:p>
      <w:pPr>
        <w:ind w:left="980" w:right="440" w:hanging="492"/>
        <w:spacing w:after="0" w:line="250"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88" w:lineRule="exact"/>
        <w:rPr>
          <w:rFonts w:ascii="Symbol" w:cs="Symbol" w:eastAsia="Symbol" w:hAnsi="Symbol"/>
          <w:sz w:val="20"/>
          <w:szCs w:val="20"/>
          <w:color w:val="auto"/>
        </w:rPr>
      </w:pPr>
    </w:p>
    <w:p>
      <w:pPr>
        <w:ind w:left="980" w:hanging="492"/>
        <w:spacing w:after="0"/>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payment of any user fees for FDA review of the BLA;</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a determination by the FDA within 60 days of its receipt of a BLA to accept the filing for review;</w:t>
      </w:r>
    </w:p>
    <w:p>
      <w:pPr>
        <w:spacing w:after="0" w:line="119" w:lineRule="exact"/>
        <w:rPr>
          <w:rFonts w:ascii="Symbol" w:cs="Symbol" w:eastAsia="Symbol" w:hAnsi="Symbol"/>
          <w:sz w:val="20"/>
          <w:szCs w:val="20"/>
          <w:color w:val="auto"/>
        </w:rPr>
      </w:pPr>
    </w:p>
    <w:p>
      <w:pPr>
        <w:ind w:left="980" w:right="60" w:hanging="492"/>
        <w:spacing w:after="0" w:line="247"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biologic, or components thereof, will be produced to assess compliance with current cGMP requirements to assure that the facilities, methods and controls are adequate to preserve the biologic’s identity, strength, quality and purity;</w:t>
      </w:r>
    </w:p>
    <w:p>
      <w:pPr>
        <w:spacing w:after="0" w:line="91" w:lineRule="exact"/>
        <w:rPr>
          <w:rFonts w:ascii="Symbol" w:cs="Symbol" w:eastAsia="Symbol" w:hAnsi="Symbol"/>
          <w:sz w:val="20"/>
          <w:szCs w:val="20"/>
          <w:color w:val="auto"/>
        </w:rPr>
      </w:pPr>
    </w:p>
    <w:p>
      <w:pPr>
        <w:ind w:left="980" w:right="240" w:hanging="492"/>
        <w:spacing w:after="0" w:line="262"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any potential FDA audits of the clinical trial sites that generated the data in support of the BLA to assure compliance with GCPs and integrity of the clinical data;</w:t>
      </w:r>
    </w:p>
    <w:p>
      <w:pPr>
        <w:spacing w:after="0" w:line="75" w:lineRule="exact"/>
        <w:rPr>
          <w:rFonts w:ascii="Symbol" w:cs="Symbol" w:eastAsia="Symbol" w:hAnsi="Symbol"/>
          <w:sz w:val="20"/>
          <w:szCs w:val="20"/>
          <w:color w:val="auto"/>
        </w:rPr>
      </w:pPr>
    </w:p>
    <w:p>
      <w:pPr>
        <w:ind w:left="980" w:right="160" w:hanging="492"/>
        <w:spacing w:after="0" w:line="262"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FDA audit of the nonclinical study and clinical trial sites that generated the data in support of the BLA;</w:t>
      </w:r>
    </w:p>
    <w:p>
      <w:pPr>
        <w:spacing w:after="0" w:line="76" w:lineRule="exact"/>
        <w:rPr>
          <w:rFonts w:ascii="Symbol" w:cs="Symbol" w:eastAsia="Symbol" w:hAnsi="Symbol"/>
          <w:sz w:val="20"/>
          <w:szCs w:val="20"/>
          <w:color w:val="auto"/>
        </w:rPr>
      </w:pPr>
    </w:p>
    <w:p>
      <w:pPr>
        <w:ind w:left="980" w:right="580" w:hanging="492"/>
        <w:spacing w:after="0" w:line="261"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FDA review and approval of the BLA, including consideration of the views of any FDA advisory committee; and</w:t>
      </w:r>
    </w:p>
    <w:p>
      <w:pPr>
        <w:spacing w:after="0" w:line="77" w:lineRule="exact"/>
        <w:rPr>
          <w:rFonts w:ascii="Symbol" w:cs="Symbol" w:eastAsia="Symbol" w:hAnsi="Symbol"/>
          <w:sz w:val="20"/>
          <w:szCs w:val="20"/>
          <w:color w:val="auto"/>
        </w:rPr>
      </w:pPr>
    </w:p>
    <w:p>
      <w:pPr>
        <w:ind w:left="980" w:right="580" w:hanging="492"/>
        <w:spacing w:after="0" w:line="262" w:lineRule="auto"/>
        <w:tabs>
          <w:tab w:leader="none" w:pos="9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compliance with any post-approval requirements, including a REMS, where applicable, and post-approval studies required by the FDA as a condition of approval.</w:t>
      </w:r>
    </w:p>
    <w:p>
      <w:pPr>
        <w:spacing w:after="0" w:line="61" w:lineRule="exact"/>
        <w:rPr>
          <w:sz w:val="20"/>
          <w:szCs w:val="20"/>
          <w:color w:val="auto"/>
        </w:rPr>
      </w:pPr>
    </w:p>
    <w:p>
      <w:pPr>
        <w:ind w:right="140" w:firstLine="612"/>
        <w:spacing w:after="0" w:line="259" w:lineRule="auto"/>
        <w:rPr>
          <w:sz w:val="20"/>
          <w:szCs w:val="20"/>
          <w:color w:val="auto"/>
        </w:rPr>
      </w:pPr>
      <w:r>
        <w:rPr>
          <w:rFonts w:ascii="Times New Roman" w:cs="Times New Roman" w:eastAsia="Times New Roman" w:hAnsi="Times New Roman"/>
          <w:sz w:val="20"/>
          <w:szCs w:val="20"/>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120"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0"/>
          <w:szCs w:val="20"/>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77" w:lineRule="exact"/>
        <w:rPr>
          <w:sz w:val="20"/>
          <w:szCs w:val="20"/>
          <w:color w:val="auto"/>
        </w:rPr>
      </w:pPr>
    </w:p>
    <w:p>
      <w:pPr>
        <w:ind w:firstLine="612"/>
        <w:spacing w:after="0" w:line="242" w:lineRule="auto"/>
        <w:rPr>
          <w:sz w:val="20"/>
          <w:szCs w:val="20"/>
          <w:color w:val="auto"/>
        </w:rPr>
      </w:pPr>
      <w:r>
        <w:rPr>
          <w:rFonts w:ascii="Times New Roman" w:cs="Times New Roman" w:eastAsia="Times New Roman" w:hAnsi="Times New Roman"/>
          <w:sz w:val="20"/>
          <w:szCs w:val="20"/>
          <w:color w:val="auto"/>
        </w:rPr>
        <w:t>Prior to beginning the first clinical trial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An IND sponsor must also submit the results of the preclinical tests, together with manufacturing information, analytical data, any available clinical data or literature and plans for clinical trials, among other things, to the FDA as part of an IND.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20" w:lineRule="exact"/>
        <w:rPr>
          <w:sz w:val="20"/>
          <w:szCs w:val="20"/>
          <w:color w:val="auto"/>
        </w:rPr>
      </w:pPr>
    </w:p>
    <w:p>
      <w:pPr>
        <w:ind w:right="100" w:firstLine="612"/>
        <w:spacing w:after="0" w:line="278" w:lineRule="auto"/>
        <w:rPr>
          <w:sz w:val="20"/>
          <w:szCs w:val="20"/>
          <w:color w:val="auto"/>
        </w:rPr>
      </w:pPr>
      <w:r>
        <w:rPr>
          <w:rFonts w:ascii="Times New Roman" w:cs="Times New Roman" w:eastAsia="Times New Roman" w:hAnsi="Times New Roman"/>
          <w:sz w:val="19"/>
          <w:szCs w:val="19"/>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35" w:right="1440" w:bottom="175" w:gutter="0" w:footer="0" w:header="0"/>
        </w:sectPr>
      </w:pPr>
    </w:p>
    <w:bookmarkStart w:id="14" w:name="page15"/>
    <w:bookmarkEnd w:id="14"/>
    <w:p>
      <w:pPr>
        <w:ind w:right="40"/>
        <w:spacing w:after="0" w:line="249" w:lineRule="auto"/>
        <w:rPr>
          <w:sz w:val="20"/>
          <w:szCs w:val="20"/>
          <w:color w:val="auto"/>
        </w:rPr>
      </w:pPr>
      <w:r>
        <w:rPr>
          <w:rFonts w:ascii="Times New Roman" w:cs="Times New Roman" w:eastAsia="Times New Roman" w:hAnsi="Times New Roman"/>
          <w:sz w:val="20"/>
          <w:szCs w:val="20"/>
          <w:color w:val="auto"/>
        </w:rPr>
        <w:t>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w:t>
      </w:r>
    </w:p>
    <w:p>
      <w:pPr>
        <w:spacing w:after="0" w:line="77" w:lineRule="exact"/>
        <w:rPr>
          <w:sz w:val="20"/>
          <w:szCs w:val="20"/>
          <w:color w:val="auto"/>
        </w:rPr>
      </w:pPr>
    </w:p>
    <w:p>
      <w:pPr>
        <w:ind w:right="20" w:firstLine="612"/>
        <w:spacing w:after="0" w:line="245" w:lineRule="auto"/>
        <w:rPr>
          <w:sz w:val="20"/>
          <w:szCs w:val="20"/>
          <w:color w:val="auto"/>
        </w:rPr>
      </w:pPr>
      <w:r>
        <w:rPr>
          <w:rFonts w:ascii="Times New Roman" w:cs="Times New Roman" w:eastAsia="Times New Roman" w:hAnsi="Times New Roman"/>
          <w:sz w:val="20"/>
          <w:szCs w:val="20"/>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81" w:lineRule="exact"/>
        <w:rPr>
          <w:sz w:val="20"/>
          <w:szCs w:val="20"/>
          <w:color w:val="auto"/>
        </w:rPr>
      </w:pPr>
    </w:p>
    <w:p>
      <w:pPr>
        <w:ind w:right="60" w:firstLine="612"/>
        <w:spacing w:after="0" w:line="252" w:lineRule="auto"/>
        <w:rPr>
          <w:sz w:val="20"/>
          <w:szCs w:val="20"/>
          <w:color w:val="auto"/>
        </w:rPr>
      </w:pPr>
      <w:r>
        <w:rPr>
          <w:rFonts w:ascii="Times New Roman" w:cs="Times New Roman" w:eastAsia="Times New Roman" w:hAnsi="Times New Roman"/>
          <w:sz w:val="20"/>
          <w:szCs w:val="20"/>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74" w:lineRule="exact"/>
        <w:rPr>
          <w:sz w:val="20"/>
          <w:szCs w:val="20"/>
          <w:color w:val="auto"/>
        </w:rPr>
      </w:pPr>
    </w:p>
    <w:p>
      <w:pPr>
        <w:ind w:right="40" w:firstLine="612"/>
        <w:spacing w:after="0" w:line="247" w:lineRule="auto"/>
        <w:rPr>
          <w:sz w:val="20"/>
          <w:szCs w:val="20"/>
          <w:color w:val="auto"/>
        </w:rPr>
      </w:pPr>
      <w:r>
        <w:rPr>
          <w:rFonts w:ascii="Times New Roman" w:cs="Times New Roman" w:eastAsia="Times New Roman" w:hAnsi="Times New Roman"/>
          <w:sz w:val="20"/>
          <w:szCs w:val="20"/>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80" w:lineRule="exact"/>
        <w:rPr>
          <w:sz w:val="20"/>
          <w:szCs w:val="20"/>
          <w:color w:val="auto"/>
        </w:rPr>
      </w:pPr>
    </w:p>
    <w:p>
      <w:pPr>
        <w:ind w:right="100" w:firstLine="612"/>
        <w:spacing w:after="0" w:line="247"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Clinical trials are generally conducted in three sequential phases, known as Phase 1, Phase 2 and Phase 3:</w:t>
      </w:r>
    </w:p>
    <w:p>
      <w:pPr>
        <w:spacing w:after="0" w:line="134" w:lineRule="exact"/>
        <w:rPr>
          <w:sz w:val="20"/>
          <w:szCs w:val="20"/>
          <w:color w:val="auto"/>
        </w:rPr>
      </w:pPr>
    </w:p>
    <w:p>
      <w:pPr>
        <w:ind w:left="980" w:right="60" w:hanging="492"/>
        <w:spacing w:after="0" w:line="245" w:lineRule="auto"/>
        <w:tabs>
          <w:tab w:leader="none" w:pos="9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94" w:lineRule="exact"/>
        <w:rPr>
          <w:rFonts w:ascii="Symbol" w:cs="Symbol" w:eastAsia="Symbol" w:hAnsi="Symbol"/>
          <w:sz w:val="20"/>
          <w:szCs w:val="20"/>
          <w:color w:val="auto"/>
        </w:rPr>
      </w:pPr>
    </w:p>
    <w:p>
      <w:pPr>
        <w:ind w:left="980" w:right="120" w:hanging="492"/>
        <w:spacing w:after="0" w:line="247" w:lineRule="auto"/>
        <w:tabs>
          <w:tab w:leader="none" w:pos="9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92" w:lineRule="exact"/>
        <w:rPr>
          <w:rFonts w:ascii="Symbol" w:cs="Symbol" w:eastAsia="Symbol" w:hAnsi="Symbol"/>
          <w:sz w:val="20"/>
          <w:szCs w:val="20"/>
          <w:color w:val="auto"/>
        </w:rPr>
      </w:pPr>
    </w:p>
    <w:p>
      <w:pPr>
        <w:ind w:left="980" w:right="80" w:hanging="492"/>
        <w:spacing w:after="0" w:line="245" w:lineRule="auto"/>
        <w:tabs>
          <w:tab w:leader="none" w:pos="98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biologic.</w:t>
      </w:r>
    </w:p>
    <w:p>
      <w:pPr>
        <w:spacing w:after="0" w:line="80" w:lineRule="exact"/>
        <w:rPr>
          <w:sz w:val="20"/>
          <w:szCs w:val="20"/>
          <w:color w:val="auto"/>
        </w:rPr>
      </w:pPr>
    </w:p>
    <w:p>
      <w:pPr>
        <w:jc w:val="both"/>
        <w:ind w:right="140" w:firstLine="612"/>
        <w:spacing w:after="0" w:line="258" w:lineRule="auto"/>
        <w:rPr>
          <w:sz w:val="20"/>
          <w:szCs w:val="20"/>
          <w:color w:val="auto"/>
        </w:rPr>
      </w:pPr>
      <w:r>
        <w:rPr>
          <w:rFonts w:ascii="Times New Roman" w:cs="Times New Roman" w:eastAsia="Times New Roman" w:hAnsi="Times New Roman"/>
          <w:sz w:val="20"/>
          <w:szCs w:val="20"/>
          <w:color w:val="auto"/>
        </w:rPr>
        <w:t>These Phases may overlap or be combined. For example, a Phase 1/2 clinical trial may contain both a dose-escalation stage and a dose-expansion stage, the latter of which may confirm tolerability at the recommended dose for expansion in future clinical trials.</w:t>
      </w:r>
    </w:p>
    <w:p>
      <w:pPr>
        <w:spacing w:after="0" w:line="68" w:lineRule="exact"/>
        <w:rPr>
          <w:sz w:val="20"/>
          <w:szCs w:val="20"/>
          <w:color w:val="auto"/>
        </w:rPr>
      </w:pPr>
    </w:p>
    <w:p>
      <w:pPr>
        <w:ind w:right="440" w:firstLine="612"/>
        <w:spacing w:after="0" w:line="258" w:lineRule="auto"/>
        <w:rPr>
          <w:sz w:val="20"/>
          <w:szCs w:val="20"/>
          <w:color w:val="auto"/>
        </w:rPr>
      </w:pPr>
      <w:r>
        <w:rPr>
          <w:rFonts w:ascii="Times New Roman" w:cs="Times New Roman" w:eastAsia="Times New Roman" w:hAnsi="Times New Roman"/>
          <w:sz w:val="20"/>
          <w:szCs w:val="20"/>
          <w:color w:val="auto"/>
        </w:rPr>
        <w:t>A single Phase 3 or Phase 2 trial with other confirmatory evidence may be sufficient in rare instances to provide substantial evidence of effectiveness (generally subject to the requirement of additional post-approval studies).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0" w:right="1440" w:bottom="175" w:gutter="0" w:footer="0" w:header="0"/>
        </w:sectPr>
      </w:pPr>
    </w:p>
    <w:bookmarkStart w:id="15" w:name="page16"/>
    <w:bookmarkEnd w:id="15"/>
    <w:p>
      <w:pPr>
        <w:ind w:right="120" w:firstLine="612"/>
        <w:spacing w:after="0" w:line="252" w:lineRule="auto"/>
        <w:rPr>
          <w:sz w:val="20"/>
          <w:szCs w:val="20"/>
          <w:color w:val="auto"/>
        </w:rPr>
      </w:pPr>
      <w:r>
        <w:rPr>
          <w:rFonts w:ascii="Times New Roman" w:cs="Times New Roman" w:eastAsia="Times New Roman" w:hAnsi="Times New Roman"/>
          <w:sz w:val="20"/>
          <w:szCs w:val="20"/>
          <w:color w:val="auto"/>
        </w:rPr>
        <w:t>In some cases, FDA may require, or firms may voluntarily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w:t>
      </w:r>
    </w:p>
    <w:p>
      <w:pPr>
        <w:spacing w:after="0" w:line="73"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20"/>
          <w:szCs w:val="20"/>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86" w:lineRule="exact"/>
        <w:rPr>
          <w:sz w:val="20"/>
          <w:szCs w:val="20"/>
          <w:color w:val="auto"/>
        </w:rPr>
      </w:pPr>
    </w:p>
    <w:p>
      <w:pPr>
        <w:ind w:right="140" w:firstLine="612"/>
        <w:spacing w:after="0" w:line="247" w:lineRule="auto"/>
        <w:rPr>
          <w:sz w:val="20"/>
          <w:szCs w:val="20"/>
          <w:color w:val="auto"/>
        </w:rPr>
      </w:pPr>
      <w:r>
        <w:rPr>
          <w:rFonts w:ascii="Times New Roman" w:cs="Times New Roman" w:eastAsia="Times New Roman" w:hAnsi="Times New Roman"/>
          <w:sz w:val="20"/>
          <w:szCs w:val="20"/>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w:t>
      </w:r>
    </w:p>
    <w:p>
      <w:pPr>
        <w:spacing w:after="0" w:line="80" w:lineRule="exact"/>
        <w:rPr>
          <w:sz w:val="20"/>
          <w:szCs w:val="20"/>
          <w:color w:val="auto"/>
        </w:rPr>
      </w:pPr>
    </w:p>
    <w:p>
      <w:pPr>
        <w:ind w:right="80" w:firstLine="612"/>
        <w:spacing w:after="0" w:line="24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FDA review processes</w:t>
      </w:r>
    </w:p>
    <w:p>
      <w:pPr>
        <w:spacing w:after="0" w:line="119"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0"/>
          <w:szCs w:val="20"/>
          <w:color w:val="auto"/>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and efficacy of the investigational product to the satisfaction of the FDA. FDA approval of a BLA must be obtained before a biologic may be marketed in the United States.</w:t>
      </w:r>
    </w:p>
    <w:p>
      <w:pPr>
        <w:spacing w:after="0" w:line="77" w:lineRule="exact"/>
        <w:rPr>
          <w:sz w:val="20"/>
          <w:szCs w:val="20"/>
          <w:color w:val="auto"/>
        </w:rPr>
      </w:pPr>
    </w:p>
    <w:p>
      <w:pPr>
        <w:ind w:right="140" w:firstLine="612"/>
        <w:spacing w:after="0" w:line="247" w:lineRule="auto"/>
        <w:rPr>
          <w:sz w:val="20"/>
          <w:szCs w:val="20"/>
          <w:color w:val="auto"/>
        </w:rPr>
      </w:pPr>
      <w:r>
        <w:rPr>
          <w:rFonts w:ascii="Times New Roman" w:cs="Times New Roman" w:eastAsia="Times New Roman" w:hAnsi="Times New Roman"/>
          <w:sz w:val="20"/>
          <w:szCs w:val="20"/>
          <w:color w:val="auto"/>
        </w:rPr>
        <w:t>The cost of preparing and submitting a BLA is substantial. Under the Prescription Drug User Fee Act (“PDUFA”),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80" w:lineRule="exact"/>
        <w:rPr>
          <w:sz w:val="20"/>
          <w:szCs w:val="20"/>
          <w:color w:val="auto"/>
        </w:rPr>
      </w:pPr>
    </w:p>
    <w:p>
      <w:pPr>
        <w:ind w:right="20" w:firstLine="612"/>
        <w:spacing w:after="0" w:line="245" w:lineRule="auto"/>
        <w:rPr>
          <w:sz w:val="20"/>
          <w:szCs w:val="20"/>
          <w:color w:val="auto"/>
        </w:rPr>
      </w:pPr>
      <w:r>
        <w:rPr>
          <w:rFonts w:ascii="Times New Roman" w:cs="Times New Roman" w:eastAsia="Times New Roman" w:hAnsi="Times New Roman"/>
          <w:sz w:val="20"/>
          <w:szCs w:val="20"/>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Once the submission is accepted for filing, the FDA begins an in-depth review of the BLA. The FDA reviews the BLA to determine, among other things, whether the proposed product is safe, pure and potent, for its intended use, and whether the product is being manufactured in accordance with cGMP to ensure its continued safety, purity and potency.</w:t>
      </w:r>
    </w:p>
    <w:p>
      <w:pPr>
        <w:spacing w:after="0" w:line="83"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0"/>
          <w:szCs w:val="20"/>
          <w:color w:val="auto"/>
        </w:rPr>
        <w:t>Under the goals and policies agreed to by the FDA under PDUFA, the FDA has 10 months, from the filing date, in which to complete its initial review of a BLA and respond to the applicant, and six months from the filing date of a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20" w:right="1440" w:bottom="175" w:gutter="0" w:footer="0" w:header="0"/>
        </w:sectPr>
      </w:pPr>
    </w:p>
    <w:bookmarkStart w:id="16" w:name="page17"/>
    <w:bookmarkEnd w:id="16"/>
    <w:p>
      <w:pPr>
        <w:ind w:right="620"/>
        <w:spacing w:after="0" w:line="277" w:lineRule="auto"/>
        <w:rPr>
          <w:sz w:val="20"/>
          <w:szCs w:val="20"/>
          <w:color w:val="auto"/>
        </w:rPr>
      </w:pPr>
      <w:r>
        <w:rPr>
          <w:rFonts w:ascii="Times New Roman" w:cs="Times New Roman" w:eastAsia="Times New Roman" w:hAnsi="Times New Roman"/>
          <w:sz w:val="20"/>
          <w:szCs w:val="20"/>
          <w:color w:val="auto"/>
        </w:rPr>
        <w:t>dates for standard and priority BLAs, and the review process can be extended by FDA requests for additional information or clarification.</w:t>
      </w:r>
    </w:p>
    <w:p>
      <w:pPr>
        <w:spacing w:after="0" w:line="49"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0"/>
          <w:szCs w:val="20"/>
          <w:color w:val="auto"/>
        </w:rPr>
        <w:t>Before approving a BLA, the FDA will conduct a pre-approval inspection of the manufacturing facilities for the new product to determine whether they comply with cGMP requirements and to ensure they can supply the market demand once approved. The FDA will not approve the product unless it determines that the manufacturing processes and facilities are in compliance with cGMP requirements and adequate to assure consistent production of the product within required specifications.</w:t>
      </w:r>
    </w:p>
    <w:p>
      <w:pPr>
        <w:spacing w:after="0" w:line="77" w:lineRule="exact"/>
        <w:rPr>
          <w:sz w:val="20"/>
          <w:szCs w:val="20"/>
          <w:color w:val="auto"/>
        </w:rPr>
      </w:pPr>
    </w:p>
    <w:p>
      <w:pPr>
        <w:ind w:right="20" w:firstLine="612"/>
        <w:spacing w:after="0" w:line="245" w:lineRule="auto"/>
        <w:rPr>
          <w:sz w:val="20"/>
          <w:szCs w:val="20"/>
          <w:color w:val="auto"/>
        </w:rPr>
      </w:pPr>
      <w:r>
        <w:rPr>
          <w:rFonts w:ascii="Times New Roman" w:cs="Times New Roman" w:eastAsia="Times New Roman" w:hAnsi="Times New Roman"/>
          <w:sz w:val="20"/>
          <w:szCs w:val="20"/>
          <w:color w:val="auto"/>
        </w:rPr>
        <w:t>The FDA also may audit data from clinical trials to ensure compliance with GCP requirements and the integrity of the data supporting safety and efficacy.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 The FDA likely will reanalyze the clinical trial data, which could result in extensive discussions between the FDA and the applicant during the review process.</w:t>
      </w:r>
    </w:p>
    <w:p>
      <w:pPr>
        <w:spacing w:after="0" w:line="81" w:lineRule="exact"/>
        <w:rPr>
          <w:sz w:val="20"/>
          <w:szCs w:val="20"/>
          <w:color w:val="auto"/>
        </w:rPr>
      </w:pPr>
    </w:p>
    <w:p>
      <w:pPr>
        <w:ind w:right="60" w:firstLine="612"/>
        <w:spacing w:after="0" w:line="243" w:lineRule="auto"/>
        <w:rPr>
          <w:sz w:val="20"/>
          <w:szCs w:val="20"/>
          <w:color w:val="auto"/>
        </w:rPr>
      </w:pPr>
      <w:r>
        <w:rPr>
          <w:rFonts w:ascii="Times New Roman" w:cs="Times New Roman" w:eastAsia="Times New Roman" w:hAnsi="Times New Roman"/>
          <w:sz w:val="20"/>
          <w:szCs w:val="20"/>
          <w:color w:val="auto"/>
        </w:rPr>
        <w:t>After the FDA evaluates a BLA, it will issue either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89" w:lineRule="exact"/>
        <w:rPr>
          <w:sz w:val="20"/>
          <w:szCs w:val="20"/>
          <w:color w:val="auto"/>
        </w:rPr>
      </w:pPr>
    </w:p>
    <w:p>
      <w:pPr>
        <w:ind w:right="140" w:firstLine="612"/>
        <w:spacing w:after="0" w:line="244" w:lineRule="auto"/>
        <w:rPr>
          <w:sz w:val="20"/>
          <w:szCs w:val="20"/>
          <w:color w:val="auto"/>
        </w:rPr>
      </w:pPr>
      <w:r>
        <w:rPr>
          <w:rFonts w:ascii="Times New Roman" w:cs="Times New Roman" w:eastAsia="Times New Roman" w:hAnsi="Times New Roman"/>
          <w:sz w:val="20"/>
          <w:szCs w:val="20"/>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Furthermore, as a condition of BLA approval, the FDA may require a REMS to help ensure that the benefits of the biologic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120"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77" w:lineRule="exact"/>
        <w:rPr>
          <w:sz w:val="20"/>
          <w:szCs w:val="20"/>
          <w:color w:val="auto"/>
        </w:rPr>
      </w:pPr>
    </w:p>
    <w:p>
      <w:pPr>
        <w:jc w:val="both"/>
        <w:ind w:right="380" w:firstLine="612"/>
        <w:spacing w:after="0" w:line="252" w:lineRule="auto"/>
        <w:rPr>
          <w:sz w:val="20"/>
          <w:szCs w:val="20"/>
          <w:color w:val="auto"/>
        </w:rPr>
      </w:pPr>
      <w:r>
        <w:rPr>
          <w:rFonts w:ascii="Times New Roman" w:cs="Times New Roman" w:eastAsia="Times New Roman" w:hAnsi="Times New Roman"/>
          <w:sz w:val="20"/>
          <w:szCs w:val="20"/>
          <w:color w:val="auto"/>
        </w:rPr>
        <w:t>Orphan drug designation must be requested before submitting a BLA. After the FDA grants orphan drug designation, the identity of the therapeutic agent and its potential orphan use are disclosed publicly by the FDA. Orphan drug designation on its own does not convey any advantage in or shorten the duration of the regulatory review and approval process.</w:t>
      </w:r>
    </w:p>
    <w:p>
      <w:pPr>
        <w:spacing w:after="0" w:line="74" w:lineRule="exact"/>
        <w:rPr>
          <w:sz w:val="20"/>
          <w:szCs w:val="20"/>
          <w:color w:val="auto"/>
        </w:rPr>
      </w:pPr>
    </w:p>
    <w:p>
      <w:pPr>
        <w:ind w:right="120" w:firstLine="612"/>
        <w:spacing w:after="0" w:line="249" w:lineRule="auto"/>
        <w:rPr>
          <w:sz w:val="20"/>
          <w:szCs w:val="20"/>
          <w:color w:val="auto"/>
        </w:rPr>
      </w:pPr>
      <w:r>
        <w:rPr>
          <w:rFonts w:ascii="Times New Roman" w:cs="Times New Roman" w:eastAsia="Times New Roman" w:hAnsi="Times New Roman"/>
          <w:sz w:val="20"/>
          <w:szCs w:val="20"/>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20" w:right="1440" w:bottom="175" w:gutter="0" w:footer="0" w:header="0"/>
        </w:sectPr>
      </w:pPr>
    </w:p>
    <w:bookmarkStart w:id="17" w:name="page18"/>
    <w:bookmarkEnd w:id="17"/>
    <w:p>
      <w:pPr>
        <w:spacing w:after="0" w:line="246" w:lineRule="auto"/>
        <w:rPr>
          <w:sz w:val="20"/>
          <w:szCs w:val="20"/>
          <w:color w:val="auto"/>
        </w:rPr>
      </w:pPr>
      <w:r>
        <w:rPr>
          <w:rFonts w:ascii="Times New Roman" w:cs="Times New Roman" w:eastAsia="Times New Roman" w:hAnsi="Times New Roman"/>
          <w:sz w:val="20"/>
          <w:szCs w:val="20"/>
          <w:color w:val="auto"/>
        </w:rPr>
        <w:t>to patient care, or in instances of drug supply issues. A designated orphan drug may not receive orphan drug exclusivity if it is approved for a use that is broader than the indication for which it received orphan designation. Orphan drug exclusivity may be lost if the FDA later determines that the request for designation was materially defective. Further, competitors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20" w:lineRule="exact"/>
        <w:rPr>
          <w:sz w:val="20"/>
          <w:szCs w:val="20"/>
          <w:color w:val="auto"/>
        </w:rPr>
      </w:pPr>
    </w:p>
    <w:p>
      <w:pPr>
        <w:ind w:right="160" w:firstLine="612"/>
        <w:spacing w:after="0" w:line="278" w:lineRule="auto"/>
        <w:rPr>
          <w:sz w:val="20"/>
          <w:szCs w:val="20"/>
          <w:color w:val="auto"/>
        </w:rPr>
      </w:pPr>
      <w:r>
        <w:rPr>
          <w:rFonts w:ascii="Times New Roman" w:cs="Times New Roman" w:eastAsia="Times New Roman" w:hAnsi="Times New Roman"/>
          <w:sz w:val="20"/>
          <w:szCs w:val="20"/>
          <w:color w:val="auto"/>
        </w:rPr>
        <w:t>The FDA is authorized to designate certain products for expedited review if they are intended to address an unmet medical need in the treatment of a serious or life-threatening disease or condition.</w:t>
      </w:r>
    </w:p>
    <w:p>
      <w:pPr>
        <w:spacing w:after="0" w:line="47" w:lineRule="exact"/>
        <w:rPr>
          <w:sz w:val="20"/>
          <w:szCs w:val="20"/>
          <w:color w:val="auto"/>
        </w:rPr>
      </w:pPr>
    </w:p>
    <w:p>
      <w:pPr>
        <w:ind w:firstLine="612"/>
        <w:spacing w:after="0" w:line="243" w:lineRule="auto"/>
        <w:rPr>
          <w:sz w:val="20"/>
          <w:szCs w:val="20"/>
          <w:color w:val="auto"/>
        </w:rPr>
      </w:pPr>
      <w:r>
        <w:rPr>
          <w:rFonts w:ascii="Times New Roman" w:cs="Times New Roman" w:eastAsia="Times New Roman" w:hAnsi="Times New Roman"/>
          <w:sz w:val="20"/>
          <w:szCs w:val="20"/>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83" w:lineRule="exact"/>
        <w:rPr>
          <w:sz w:val="20"/>
          <w:szCs w:val="20"/>
          <w:color w:val="auto"/>
        </w:rPr>
      </w:pPr>
    </w:p>
    <w:p>
      <w:pPr>
        <w:ind w:right="40" w:firstLine="612"/>
        <w:spacing w:after="0" w:line="243" w:lineRule="auto"/>
        <w:rPr>
          <w:sz w:val="20"/>
          <w:szCs w:val="20"/>
          <w:color w:val="auto"/>
        </w:rPr>
      </w:pPr>
      <w:r>
        <w:rPr>
          <w:rFonts w:ascii="Times New Roman" w:cs="Times New Roman" w:eastAsia="Times New Roman" w:hAnsi="Times New Roman"/>
          <w:sz w:val="20"/>
          <w:szCs w:val="20"/>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88" w:lineRule="exact"/>
        <w:rPr>
          <w:sz w:val="20"/>
          <w:szCs w:val="20"/>
          <w:color w:val="auto"/>
        </w:rPr>
      </w:pPr>
    </w:p>
    <w:p>
      <w:pPr>
        <w:ind w:right="40" w:firstLine="612"/>
        <w:spacing w:after="0" w:line="247" w:lineRule="auto"/>
        <w:rPr>
          <w:sz w:val="20"/>
          <w:szCs w:val="20"/>
          <w:color w:val="auto"/>
        </w:rPr>
      </w:pPr>
      <w:r>
        <w:rPr>
          <w:rFonts w:ascii="Times New Roman" w:cs="Times New Roman" w:eastAsia="Times New Roman" w:hAnsi="Times New Roman"/>
          <w:sz w:val="20"/>
          <w:szCs w:val="20"/>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Under priority review, the FDA’s goal is to review an application in six months once it is filed, compared to ten months for a standard review. Priority review designation does not change the standard for approval or the quality of evidence necessary to support approval.</w:t>
      </w:r>
    </w:p>
    <w:p>
      <w:pPr>
        <w:spacing w:after="0" w:line="80" w:lineRule="exact"/>
        <w:rPr>
          <w:sz w:val="20"/>
          <w:szCs w:val="20"/>
          <w:color w:val="auto"/>
        </w:rPr>
      </w:pPr>
    </w:p>
    <w:p>
      <w:pPr>
        <w:ind w:right="40" w:firstLine="612"/>
        <w:spacing w:after="0" w:line="257" w:lineRule="auto"/>
        <w:rPr>
          <w:sz w:val="20"/>
          <w:szCs w:val="20"/>
          <w:color w:val="auto"/>
        </w:rPr>
      </w:pPr>
      <w:r>
        <w:rPr>
          <w:rFonts w:ascii="Times New Roman" w:cs="Times New Roman" w:eastAsia="Times New Roman" w:hAnsi="Times New Roman"/>
          <w:sz w:val="19"/>
          <w:szCs w:val="19"/>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Use of the accelerated approval pathway entails submission of a BLA with the surrogate or intermediate clinical endpoint data while continuing to conduct the trial(s) to completion and 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20" w:right="1440" w:bottom="175" w:gutter="0" w:footer="0" w:header="0"/>
        </w:sectPr>
      </w:pPr>
    </w:p>
    <w:bookmarkStart w:id="18" w:name="page19"/>
    <w:bookmarkEnd w:id="18"/>
    <w:p>
      <w:pPr>
        <w:ind w:right="100"/>
        <w:spacing w:after="0" w:line="247" w:lineRule="auto"/>
        <w:rPr>
          <w:sz w:val="20"/>
          <w:szCs w:val="20"/>
          <w:color w:val="auto"/>
        </w:rPr>
      </w:pPr>
      <w:r>
        <w:rPr>
          <w:rFonts w:ascii="Times New Roman" w:cs="Times New Roman" w:eastAsia="Times New Roman" w:hAnsi="Times New Roman"/>
          <w:sz w:val="20"/>
          <w:szCs w:val="20"/>
          <w:color w:val="auto"/>
        </w:rPr>
        <w:t>contingent on a sponsor’s agreement to complete and/or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80" w:lineRule="exact"/>
        <w:rPr>
          <w:sz w:val="20"/>
          <w:szCs w:val="20"/>
          <w:color w:val="auto"/>
        </w:rPr>
      </w:pPr>
    </w:p>
    <w:p>
      <w:pPr>
        <w:jc w:val="both"/>
        <w:ind w:right="120" w:firstLine="612"/>
        <w:spacing w:after="0" w:line="252"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Additional controls for biologics</w:t>
      </w:r>
    </w:p>
    <w:p>
      <w:pPr>
        <w:spacing w:after="0" w:line="120" w:lineRule="exact"/>
        <w:rPr>
          <w:sz w:val="20"/>
          <w:szCs w:val="20"/>
          <w:color w:val="auto"/>
        </w:rPr>
      </w:pPr>
    </w:p>
    <w:p>
      <w:pPr>
        <w:ind w:right="120" w:firstLine="612"/>
        <w:spacing w:after="0" w:line="247" w:lineRule="auto"/>
        <w:rPr>
          <w:sz w:val="20"/>
          <w:szCs w:val="20"/>
          <w:color w:val="auto"/>
        </w:rPr>
      </w:pPr>
      <w:r>
        <w:rPr>
          <w:rFonts w:ascii="Times New Roman" w:cs="Times New Roman" w:eastAsia="Times New Roman" w:hAnsi="Times New Roman"/>
          <w:sz w:val="20"/>
          <w:szCs w:val="20"/>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80" w:lineRule="exact"/>
        <w:rPr>
          <w:sz w:val="20"/>
          <w:szCs w:val="20"/>
          <w:color w:val="auto"/>
        </w:rPr>
      </w:pPr>
    </w:p>
    <w:p>
      <w:pPr>
        <w:ind w:right="40" w:firstLine="612"/>
        <w:spacing w:after="0" w:line="244" w:lineRule="auto"/>
        <w:rPr>
          <w:sz w:val="20"/>
          <w:szCs w:val="20"/>
          <w:color w:val="auto"/>
        </w:rPr>
      </w:pPr>
      <w:r>
        <w:rPr>
          <w:rFonts w:ascii="Times New Roman" w:cs="Times New Roman" w:eastAsia="Times New Roman" w:hAnsi="Times New Roman"/>
          <w:sz w:val="20"/>
          <w:szCs w:val="20"/>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20"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0"/>
          <w:szCs w:val="20"/>
          <w:color w:val="auto"/>
        </w:rPr>
        <w:t>Once a BLA is approved, a product may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 Although physicians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 label uses of products for which marketing clearance has not been issued. Companies may only share truthful and not misleading information that is otherwise consistent with a product’s FDA approved labeling.</w:t>
      </w:r>
    </w:p>
    <w:p>
      <w:pPr>
        <w:spacing w:after="0" w:line="81" w:lineRule="exact"/>
        <w:rPr>
          <w:sz w:val="20"/>
          <w:szCs w:val="20"/>
          <w:color w:val="auto"/>
        </w:rPr>
      </w:pPr>
    </w:p>
    <w:p>
      <w:pPr>
        <w:ind w:right="120" w:firstLine="612"/>
        <w:spacing w:after="0" w:line="243" w:lineRule="auto"/>
        <w:rPr>
          <w:sz w:val="20"/>
          <w:szCs w:val="20"/>
          <w:color w:val="auto"/>
        </w:rPr>
      </w:pPr>
      <w:r>
        <w:rPr>
          <w:rFonts w:ascii="Times New Roman" w:cs="Times New Roman" w:eastAsia="Times New Roman" w:hAnsi="Times New Roman"/>
          <w:sz w:val="20"/>
          <w:szCs w:val="20"/>
          <w:color w:val="auto"/>
        </w:rPr>
        <w:t>Adverse event reporting and submission of periodic safety summary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20" w:right="1440" w:bottom="175" w:gutter="0" w:footer="0" w:header="0"/>
        </w:sectPr>
      </w:pPr>
    </w:p>
    <w:bookmarkStart w:id="19" w:name="page20"/>
    <w:bookmarkEnd w:id="19"/>
    <w:p>
      <w:pPr>
        <w:ind w:right="120" w:firstLine="612"/>
        <w:spacing w:after="0" w:line="246"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94" w:lineRule="exact"/>
        <w:rPr>
          <w:sz w:val="20"/>
          <w:szCs w:val="20"/>
          <w:color w:val="auto"/>
        </w:rPr>
      </w:pPr>
    </w:p>
    <w:p>
      <w:pPr>
        <w:ind w:left="980" w:right="400" w:hanging="492"/>
        <w:spacing w:after="0" w:line="262" w:lineRule="auto"/>
        <w:tabs>
          <w:tab w:leader="none" w:pos="9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marketing or manufacturing of the product, suspension of the approval, complete withdrawal of the product from the market or product recalls;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warning or other enforcement-related letters or holds on post-approval clinical trials;</w:t>
      </w:r>
    </w:p>
    <w:p>
      <w:pPr>
        <w:spacing w:after="0" w:line="119" w:lineRule="exact"/>
        <w:rPr>
          <w:rFonts w:ascii="Symbol" w:cs="Symbol" w:eastAsia="Symbol" w:hAnsi="Symbol"/>
          <w:sz w:val="20"/>
          <w:szCs w:val="20"/>
          <w:color w:val="auto"/>
        </w:rPr>
      </w:pPr>
    </w:p>
    <w:p>
      <w:pPr>
        <w:ind w:left="980" w:right="540" w:hanging="492"/>
        <w:spacing w:after="0" w:line="262" w:lineRule="auto"/>
        <w:tabs>
          <w:tab w:leader="none" w:pos="9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of the FDA to approve pending BLAs or supplements to approved BLAs, or suspension or revocation of product license approvals;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15"/>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U.S. marketing exclusivity</w:t>
      </w:r>
    </w:p>
    <w:p>
      <w:pPr>
        <w:spacing w:after="0" w:line="119" w:lineRule="exact"/>
        <w:rPr>
          <w:sz w:val="20"/>
          <w:szCs w:val="20"/>
          <w:color w:val="auto"/>
        </w:rPr>
      </w:pPr>
    </w:p>
    <w:p>
      <w:pPr>
        <w:ind w:right="40" w:firstLine="612"/>
        <w:spacing w:after="0" w:line="243"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88" w:lineRule="exact"/>
        <w:rPr>
          <w:sz w:val="20"/>
          <w:szCs w:val="20"/>
          <w:color w:val="auto"/>
        </w:rPr>
      </w:pPr>
    </w:p>
    <w:p>
      <w:pPr>
        <w:ind w:firstLine="612"/>
        <w:spacing w:after="0" w:line="258" w:lineRule="auto"/>
        <w:rPr>
          <w:sz w:val="20"/>
          <w:szCs w:val="20"/>
          <w:color w:val="auto"/>
        </w:rPr>
      </w:pPr>
      <w:r>
        <w:rPr>
          <w:rFonts w:ascii="Times New Roman" w:cs="Times New Roman" w:eastAsia="Times New Roman" w:hAnsi="Times New Roman"/>
          <w:sz w:val="19"/>
          <w:szCs w:val="19"/>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approval in the European Union</w:t>
      </w:r>
    </w:p>
    <w:p>
      <w:pPr>
        <w:spacing w:after="0" w:line="120" w:lineRule="exact"/>
        <w:rPr>
          <w:sz w:val="20"/>
          <w:szCs w:val="20"/>
          <w:color w:val="auto"/>
        </w:rPr>
      </w:pPr>
    </w:p>
    <w:p>
      <w:pPr>
        <w:ind w:right="80" w:firstLine="612"/>
        <w:spacing w:after="0" w:line="247" w:lineRule="auto"/>
        <w:rPr>
          <w:sz w:val="20"/>
          <w:szCs w:val="20"/>
          <w:color w:val="auto"/>
        </w:rPr>
      </w:pPr>
      <w:r>
        <w:rPr>
          <w:rFonts w:ascii="Times New Roman" w:cs="Times New Roman" w:eastAsia="Times New Roman" w:hAnsi="Times New Roman"/>
          <w:sz w:val="20"/>
          <w:szCs w:val="20"/>
          <w:color w:val="auto"/>
        </w:rPr>
        <w:t>The EMA is a decentralized scientific agency of the European Union (“EU”). It coordinates the evaluation and monitoring of centrally authorized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European Union Member States.</w:t>
      </w:r>
    </w:p>
    <w:p>
      <w:pPr>
        <w:spacing w:after="0" w:line="79" w:lineRule="exact"/>
        <w:rPr>
          <w:sz w:val="20"/>
          <w:szCs w:val="20"/>
          <w:color w:val="auto"/>
        </w:rPr>
      </w:pPr>
    </w:p>
    <w:p>
      <w:pPr>
        <w:ind w:right="60" w:firstLine="612"/>
        <w:spacing w:after="0" w:line="278" w:lineRule="auto"/>
        <w:rPr>
          <w:sz w:val="20"/>
          <w:szCs w:val="20"/>
          <w:color w:val="auto"/>
        </w:rPr>
      </w:pPr>
      <w:r>
        <w:rPr>
          <w:rFonts w:ascii="Times New Roman" w:cs="Times New Roman" w:eastAsia="Times New Roman" w:hAnsi="Times New Roman"/>
          <w:sz w:val="20"/>
          <w:szCs w:val="20"/>
          <w:color w:val="auto"/>
        </w:rPr>
        <w:t>The process regarding approval of medicinal products in the European Union follows roughly the same lines as in the United States and likewise generally involves satisfactorily completing each of the following:</w:t>
      </w:r>
    </w:p>
    <w:p>
      <w:pPr>
        <w:spacing w:after="0" w:line="62" w:lineRule="exact"/>
        <w:rPr>
          <w:sz w:val="20"/>
          <w:szCs w:val="20"/>
          <w:color w:val="auto"/>
        </w:rPr>
      </w:pPr>
    </w:p>
    <w:p>
      <w:pPr>
        <w:ind w:left="980" w:right="80" w:hanging="492"/>
        <w:spacing w:after="0" w:line="261" w:lineRule="auto"/>
        <w:tabs>
          <w:tab w:leader="none" w:pos="980" w:val="left"/>
        </w:tabs>
        <w:numPr>
          <w:ilvl w:val="0"/>
          <w:numId w:val="16"/>
        </w:numPr>
        <w:rPr>
          <w:rFonts w:ascii="Symbol" w:cs="Symbol" w:eastAsia="Symbol" w:hAnsi="Symbol"/>
          <w:sz w:val="20"/>
          <w:szCs w:val="20"/>
          <w:color w:val="auto"/>
        </w:rPr>
      </w:pPr>
      <w:r>
        <w:rPr>
          <w:rFonts w:ascii="Times New Roman" w:cs="Times New Roman" w:eastAsia="Times New Roman" w:hAnsi="Times New Roman"/>
          <w:sz w:val="20"/>
          <w:szCs w:val="20"/>
          <w:color w:val="auto"/>
        </w:rPr>
        <w:t>preclinical laboratory tests, animal studies and formulation studies all performed in accordance with the applicable EU Good Laboratory Practice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0" w:right="1440" w:bottom="175" w:gutter="0" w:footer="0" w:header="0"/>
        </w:sectPr>
      </w:pPr>
    </w:p>
    <w:bookmarkStart w:id="20" w:name="page21"/>
    <w:bookmarkEnd w:id="20"/>
    <w:p>
      <w:pPr>
        <w:ind w:left="980" w:right="60" w:hanging="492"/>
        <w:spacing w:after="0" w:line="245" w:lineRule="auto"/>
        <w:tabs>
          <w:tab w:leader="none" w:pos="9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of a single clinical trial application (“CTA”) through the Clinical Trials Information System (“CTIS”) to the relevant national authorities of EU Member States in which a clinical trial is planned to be conducted, which must be approved by such national authorities and the subject of a positive opinion from at least one independent ethics committee before the trial may begin in each country where the clinical trial is planned;</w:t>
      </w:r>
    </w:p>
    <w:p>
      <w:pPr>
        <w:spacing w:after="0" w:line="94" w:lineRule="exact"/>
        <w:rPr>
          <w:rFonts w:ascii="Symbol" w:cs="Symbol" w:eastAsia="Symbol" w:hAnsi="Symbol"/>
          <w:sz w:val="20"/>
          <w:szCs w:val="20"/>
          <w:color w:val="auto"/>
        </w:rPr>
      </w:pPr>
    </w:p>
    <w:p>
      <w:pPr>
        <w:ind w:left="980" w:right="380" w:hanging="492"/>
        <w:spacing w:after="0" w:line="261" w:lineRule="auto"/>
        <w:tabs>
          <w:tab w:leader="none" w:pos="9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adequate and well-controlled clinical trials to establish the safety and efficacy of the product for each proposed indication;</w:t>
      </w:r>
    </w:p>
    <w:p>
      <w:pPr>
        <w:spacing w:after="0" w:line="77" w:lineRule="exact"/>
        <w:rPr>
          <w:rFonts w:ascii="Symbol" w:cs="Symbol" w:eastAsia="Symbol" w:hAnsi="Symbol"/>
          <w:sz w:val="20"/>
          <w:szCs w:val="20"/>
          <w:color w:val="auto"/>
        </w:rPr>
      </w:pPr>
    </w:p>
    <w:p>
      <w:pPr>
        <w:ind w:left="980" w:right="420" w:hanging="492"/>
        <w:spacing w:after="0" w:line="250" w:lineRule="auto"/>
        <w:tabs>
          <w:tab w:leader="none" w:pos="9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the relevant competent authorities of a marketing authorization application (“MAA”) which includes the data supporting safety and efficacy as well as detailed information on the manufacture and composition of the product in clinical development and proposed labelling;</w:t>
      </w:r>
    </w:p>
    <w:p>
      <w:pPr>
        <w:spacing w:after="0" w:line="90" w:lineRule="exact"/>
        <w:rPr>
          <w:rFonts w:ascii="Symbol" w:cs="Symbol" w:eastAsia="Symbol" w:hAnsi="Symbol"/>
          <w:sz w:val="20"/>
          <w:szCs w:val="20"/>
          <w:color w:val="auto"/>
        </w:rPr>
      </w:pPr>
    </w:p>
    <w:p>
      <w:pPr>
        <w:ind w:left="980" w:right="120" w:hanging="492"/>
        <w:spacing w:after="0" w:line="250" w:lineRule="auto"/>
        <w:tabs>
          <w:tab w:leader="none" w:pos="9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an inspection by the relevant competent national authorities of EU Member States of the manufacturing facility or facilities, including those of third parties, at which the product is produced to assess compliance with strictly enforced cGMP;</w:t>
      </w:r>
    </w:p>
    <w:p>
      <w:pPr>
        <w:spacing w:after="0" w:line="90" w:lineRule="exact"/>
        <w:rPr>
          <w:rFonts w:ascii="Symbol" w:cs="Symbol" w:eastAsia="Symbol" w:hAnsi="Symbol"/>
          <w:sz w:val="20"/>
          <w:szCs w:val="20"/>
          <w:color w:val="auto"/>
        </w:rPr>
      </w:pPr>
    </w:p>
    <w:p>
      <w:pPr>
        <w:ind w:left="980" w:right="80" w:hanging="492"/>
        <w:spacing w:after="0" w:line="262" w:lineRule="auto"/>
        <w:tabs>
          <w:tab w:leader="none" w:pos="9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audits of the non-clinical and clinical trial sites that generated the data in support of the MAA; and</w:t>
      </w:r>
    </w:p>
    <w:p>
      <w:pPr>
        <w:spacing w:after="0" w:line="75" w:lineRule="exact"/>
        <w:rPr>
          <w:rFonts w:ascii="Symbol" w:cs="Symbol" w:eastAsia="Symbol" w:hAnsi="Symbol"/>
          <w:sz w:val="20"/>
          <w:szCs w:val="20"/>
          <w:color w:val="auto"/>
        </w:rPr>
      </w:pPr>
    </w:p>
    <w:p>
      <w:pPr>
        <w:ind w:left="980" w:right="20" w:hanging="492"/>
        <w:spacing w:after="0" w:line="262" w:lineRule="auto"/>
        <w:tabs>
          <w:tab w:leader="none" w:pos="980" w:val="left"/>
        </w:tabs>
        <w:numPr>
          <w:ilvl w:val="0"/>
          <w:numId w:val="17"/>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 and approval by the relevant competent authority of the MAA before any commercial marketing, sale or shipment of the product.</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120" w:lineRule="exact"/>
        <w:rPr>
          <w:sz w:val="20"/>
          <w:szCs w:val="20"/>
          <w:color w:val="auto"/>
        </w:rPr>
      </w:pPr>
    </w:p>
    <w:p>
      <w:pPr>
        <w:jc w:val="both"/>
        <w:ind w:right="280" w:firstLine="612"/>
        <w:spacing w:after="0" w:line="249" w:lineRule="auto"/>
        <w:rPr>
          <w:sz w:val="20"/>
          <w:szCs w:val="20"/>
          <w:color w:val="auto"/>
        </w:rPr>
      </w:pPr>
      <w:r>
        <w:rPr>
          <w:rFonts w:ascii="Times New Roman" w:cs="Times New Roman" w:eastAsia="Times New Roman" w:hAnsi="Times New Roman"/>
          <w:sz w:val="20"/>
          <w:szCs w:val="20"/>
          <w:color w:val="auto"/>
        </w:rPr>
        <w:t>Preclinical tests include laboratory evaluations of product chemistry, formulation and stability, as well as studies to evaluate toxicity in animal studies, in order to assess the quality and potential safety and efficacy of the product. The conduct of the preclinical tests and formulation of the compounds for testing must comply with the relevant international, EU and national legislation, regulations and guidelines. The results of the preclinical tests, together with relevant manufacturing information and analytical data, are submitted as part of the CTA.</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120" w:lineRule="exact"/>
        <w:rPr>
          <w:sz w:val="20"/>
          <w:szCs w:val="20"/>
          <w:color w:val="auto"/>
        </w:rPr>
      </w:pPr>
    </w:p>
    <w:p>
      <w:pPr>
        <w:ind w:right="180" w:firstLine="612"/>
        <w:spacing w:after="0" w:line="278" w:lineRule="auto"/>
        <w:rPr>
          <w:sz w:val="20"/>
          <w:szCs w:val="20"/>
          <w:color w:val="auto"/>
        </w:rPr>
      </w:pPr>
      <w:r>
        <w:rPr>
          <w:rFonts w:ascii="Times New Roman" w:cs="Times New Roman" w:eastAsia="Times New Roman" w:hAnsi="Times New Roman"/>
          <w:sz w:val="20"/>
          <w:szCs w:val="20"/>
          <w:color w:val="auto"/>
        </w:rPr>
        <w:t>Similarly to the United States, the various phases of non-clinical and clinical research in the EU are subject to significant regulatory controls.</w:t>
      </w:r>
    </w:p>
    <w:p>
      <w:pPr>
        <w:spacing w:after="0" w:line="47" w:lineRule="exact"/>
        <w:rPr>
          <w:sz w:val="20"/>
          <w:szCs w:val="20"/>
          <w:color w:val="auto"/>
        </w:rPr>
      </w:pPr>
    </w:p>
    <w:p>
      <w:pPr>
        <w:ind w:right="140" w:firstLine="612"/>
        <w:spacing w:after="0" w:line="259" w:lineRule="auto"/>
        <w:rPr>
          <w:sz w:val="20"/>
          <w:szCs w:val="20"/>
          <w:color w:val="auto"/>
        </w:rPr>
      </w:pPr>
      <w:r>
        <w:rPr>
          <w:rFonts w:ascii="Times New Roman" w:cs="Times New Roman" w:eastAsia="Times New Roman" w:hAnsi="Times New Roman"/>
          <w:sz w:val="20"/>
          <w:szCs w:val="20"/>
          <w:color w:val="auto"/>
        </w:rPr>
        <w:t>In the EU, clinical trials are governed by the Clinical Trials Regulation (EU) No. 536/2014 (“CTR”), which entered into application on January 31, 2022 repealing and replacing the former Clinical Trials Directive 2001/20 (“CTD”).</w:t>
      </w:r>
    </w:p>
    <w:p>
      <w:pPr>
        <w:spacing w:after="0" w:line="65" w:lineRule="exact"/>
        <w:rPr>
          <w:sz w:val="20"/>
          <w:szCs w:val="20"/>
          <w:color w:val="auto"/>
        </w:rPr>
      </w:pPr>
    </w:p>
    <w:p>
      <w:pPr>
        <w:ind w:right="20" w:firstLine="612"/>
        <w:spacing w:after="0" w:line="243" w:lineRule="auto"/>
        <w:rPr>
          <w:sz w:val="20"/>
          <w:szCs w:val="20"/>
          <w:color w:val="auto"/>
        </w:rPr>
      </w:pPr>
      <w:r>
        <w:rPr>
          <w:rFonts w:ascii="Times New Roman" w:cs="Times New Roman" w:eastAsia="Times New Roman" w:hAnsi="Times New Roman"/>
          <w:sz w:val="20"/>
          <w:szCs w:val="20"/>
          <w:color w:val="auto"/>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86" w:lineRule="exact"/>
        <w:rPr>
          <w:sz w:val="20"/>
          <w:szCs w:val="20"/>
          <w:color w:val="auto"/>
        </w:rPr>
      </w:pPr>
    </w:p>
    <w:p>
      <w:pPr>
        <w:jc w:val="both"/>
        <w:ind w:right="240" w:firstLine="612"/>
        <w:spacing w:after="0" w:line="278" w:lineRule="auto"/>
        <w:rPr>
          <w:sz w:val="20"/>
          <w:szCs w:val="20"/>
          <w:color w:val="auto"/>
        </w:rPr>
      </w:pPr>
      <w:r>
        <w:rPr>
          <w:rFonts w:ascii="Times New Roman" w:cs="Times New Roman" w:eastAsia="Times New Roman" w:hAnsi="Times New Roman"/>
          <w:sz w:val="20"/>
          <w:szCs w:val="20"/>
          <w:color w:val="auto"/>
        </w:rPr>
        <w:t>The CTR foresaw a three-year transition period that ended on January 31, 2025. Since this date, all new or ongoing trials are subject to the provisions of the CTR.</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w:t>
      </w:r>
    </w:p>
    <w:p>
      <w:pPr>
        <w:spacing w:after="0" w:line="120" w:lineRule="exact"/>
        <w:rPr>
          <w:sz w:val="20"/>
          <w:szCs w:val="20"/>
          <w:color w:val="auto"/>
        </w:rPr>
      </w:pPr>
    </w:p>
    <w:p>
      <w:pPr>
        <w:jc w:val="both"/>
        <w:ind w:right="240" w:firstLine="612"/>
        <w:spacing w:after="0" w:line="258" w:lineRule="auto"/>
        <w:rPr>
          <w:sz w:val="20"/>
          <w:szCs w:val="20"/>
          <w:color w:val="auto"/>
        </w:rPr>
      </w:pPr>
      <w:r>
        <w:rPr>
          <w:rFonts w:ascii="Times New Roman" w:cs="Times New Roman" w:eastAsia="Times New Roman" w:hAnsi="Times New Roman"/>
          <w:sz w:val="20"/>
          <w:szCs w:val="20"/>
          <w:color w:val="auto"/>
        </w:rPr>
        <w:t>In the EU, medicinal products can only be commercialized after a related marketing authorization (“MA”) has been granted. To obtain an MA for a product in the EU, an applicant must submit a Marketing Authorization Application (“MAA”), either under a centralized procedure administered by the EMA, or one of the procedures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35" w:right="1440" w:bottom="175" w:gutter="0" w:footer="0" w:header="0"/>
        </w:sectPr>
      </w:pPr>
    </w:p>
    <w:bookmarkStart w:id="21" w:name="page22"/>
    <w:bookmarkEnd w:id="21"/>
    <w:p>
      <w:pPr>
        <w:ind w:right="380"/>
        <w:spacing w:after="0" w:line="277" w:lineRule="auto"/>
        <w:rPr>
          <w:sz w:val="20"/>
          <w:szCs w:val="20"/>
          <w:color w:val="auto"/>
        </w:rPr>
      </w:pPr>
      <w:r>
        <w:rPr>
          <w:rFonts w:ascii="Times New Roman" w:cs="Times New Roman" w:eastAsia="Times New Roman" w:hAnsi="Times New Roman"/>
          <w:sz w:val="20"/>
          <w:szCs w:val="20"/>
          <w:color w:val="auto"/>
        </w:rPr>
        <w:t>administered by the competent authorities of EU Member States (decentralized procedure, national procedure or mutual recognition procedure). An MA may be granted only to an applicant established in the EU.</w:t>
      </w:r>
    </w:p>
    <w:p>
      <w:pPr>
        <w:spacing w:after="0" w:line="49"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20"/>
          <w:szCs w:val="20"/>
          <w:color w:val="auto"/>
        </w:rPr>
        <w:t>The centralized procedure provides for the grant of a single MA by the European Commission that is valid throughout the European Economic Area (“EEA”), which is comprised of the 27 EU Member States plus Iceland, Liechtenstein and Norway. Pursuant to Regulation (“EC”) No 726/2004, the centralized procedure is compulsory for specific products, including for (i) medicinal products derived from biotechnological processes, (ii) 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86" w:lineRule="exact"/>
        <w:rPr>
          <w:sz w:val="20"/>
          <w:szCs w:val="20"/>
          <w:color w:val="auto"/>
        </w:rPr>
      </w:pPr>
    </w:p>
    <w:p>
      <w:pPr>
        <w:ind w:right="20" w:firstLine="612"/>
        <w:spacing w:after="0" w:line="242" w:lineRule="auto"/>
        <w:rPr>
          <w:sz w:val="20"/>
          <w:szCs w:val="20"/>
          <w:color w:val="auto"/>
        </w:rPr>
      </w:pPr>
      <w:r>
        <w:rPr>
          <w:rFonts w:ascii="Times New Roman" w:cs="Times New Roman" w:eastAsia="Times New Roman" w:hAnsi="Times New Roman"/>
          <w:sz w:val="20"/>
          <w:szCs w:val="20"/>
          <w:color w:val="auto"/>
        </w:rPr>
        <w:t>Under the centralized authorization procedure, the EMA’s Committee for Medicinal Products for Human Use (“CHMP”) conducts the initial assessment of a product. The CHMP is composed of experts nominated by each member state’s national drug authority, with one of them appointed to act as Rapporteur for the co-ordination of the evaluation with the possible assistance of a further member of the CHMP acting as a Co-Rapporteur. After approval, the Rapporteur(s) continue to monitor the product throughout its life cycle. The CHMP is required to issue an opinion within 210 days of receipt of a valid application, though the clock is stopped if it is necessary to ask the applicant for clarification or further supporting data. Clock stops may extend the timeframe of evaluation of a marketing authorization application considerably beyond 210 days. The process is complex and involves extensive consultation with the regulatory authorities of Member States and a number of experts. Once the procedure is completed, a European Public Assessment Report is produced. If the CHMP concludes that the quality, safety and efficacy of the medicinal product is sufficiently proven, it adopts a positive opinion. The CHMP’s opinion is sent to the European Commission, which uses the opinion as the basis for its decision whether or not to grant a marketing authorization. The European Commission’s decision is issued within 67 days of receipt of the CHMP’s recommendation. If the opinion is negative, information is given as to the grounds on which this conclusion was reached.</w:t>
      </w:r>
    </w:p>
    <w:p>
      <w:pPr>
        <w:spacing w:after="0" w:line="92" w:lineRule="exact"/>
        <w:rPr>
          <w:sz w:val="20"/>
          <w:szCs w:val="20"/>
          <w:color w:val="auto"/>
        </w:rPr>
      </w:pPr>
    </w:p>
    <w:p>
      <w:pPr>
        <w:ind w:right="160" w:firstLine="612"/>
        <w:spacing w:after="0" w:line="252" w:lineRule="auto"/>
        <w:rPr>
          <w:sz w:val="20"/>
          <w:szCs w:val="20"/>
          <w:color w:val="auto"/>
        </w:rPr>
      </w:pPr>
      <w:r>
        <w:rPr>
          <w:rFonts w:ascii="Times New Roman" w:cs="Times New Roman" w:eastAsia="Times New Roman" w:hAnsi="Times New Roman"/>
          <w:sz w:val="20"/>
          <w:szCs w:val="20"/>
          <w:color w:val="auto"/>
        </w:rPr>
        <w:t>After a drug has been authorized and launched, it is a condition of maintaining the marketing authorization that all aspects relating to its quality, safety and efficacy must be kept under review. Sanctions may be imposed for failure to adhere to the conditions of the marketing authorization. In extreme cases, the authorization may be revoked, resulting in withdrawal of the product from sale.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Validity of marketing authorizations</w:t>
      </w:r>
    </w:p>
    <w:p>
      <w:pPr>
        <w:spacing w:after="0" w:line="120" w:lineRule="exact"/>
        <w:rPr>
          <w:sz w:val="20"/>
          <w:szCs w:val="20"/>
          <w:color w:val="auto"/>
        </w:rPr>
      </w:pPr>
    </w:p>
    <w:p>
      <w:pPr>
        <w:ind w:right="40" w:firstLine="612"/>
        <w:spacing w:after="0" w:line="243" w:lineRule="auto"/>
        <w:rPr>
          <w:sz w:val="20"/>
          <w:szCs w:val="20"/>
          <w:color w:val="auto"/>
        </w:rPr>
      </w:pPr>
      <w:r>
        <w:rPr>
          <w:rFonts w:ascii="Times New Roman" w:cs="Times New Roman" w:eastAsia="Times New Roman" w:hAnsi="Times New Roman"/>
          <w:sz w:val="20"/>
          <w:szCs w:val="20"/>
          <w:color w:val="auto"/>
        </w:rPr>
        <w:t>A marketing authorization has, in principle, an initial validity of five years. The market authorization may be renewed after five years on the basis of a re -evaluation of the risk-benefit balance by the EMA or by the competent authority of the EU Member State in which the original MA was granted. To support the application, the market authorization holder must provide the EMA or the competent authority with a consolidated version of the Common Technical Document providing up-to-date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EU Member States may decide, on justified grounds relating to pharmacovigilance, to proceed with one additional five-year renewal period for the marketing authorization. Once subsequently definitively renewed, the MA shall be valid for an unlimited period. Any authorization which is not followed by the actual placing of the medicinal product on the EU market (for a centralized procedure marketing authorization) or on the market of the authorizing EU Member State within three years after authorization ceases to be valid (the so-called sunset clause).</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Manufacturing regulation in the EU</w:t>
      </w:r>
    </w:p>
    <w:p>
      <w:pPr>
        <w:spacing w:after="0" w:line="119" w:lineRule="exact"/>
        <w:rPr>
          <w:sz w:val="20"/>
          <w:szCs w:val="20"/>
          <w:color w:val="auto"/>
        </w:rPr>
      </w:pPr>
    </w:p>
    <w:p>
      <w:pPr>
        <w:ind w:right="100" w:firstLine="612"/>
        <w:spacing w:after="0" w:line="261" w:lineRule="auto"/>
        <w:rPr>
          <w:sz w:val="20"/>
          <w:szCs w:val="20"/>
          <w:color w:val="auto"/>
        </w:rPr>
      </w:pPr>
      <w:r>
        <w:rPr>
          <w:rFonts w:ascii="Times New Roman" w:cs="Times New Roman" w:eastAsia="Times New Roman" w:hAnsi="Times New Roman"/>
          <w:sz w:val="19"/>
          <w:szCs w:val="19"/>
          <w:color w:val="auto"/>
        </w:rPr>
        <w:t>In addition to a marketing authorization, various other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sectPr>
      </w:pPr>
    </w:p>
    <w:bookmarkStart w:id="22" w:name="page23"/>
    <w:bookmarkEnd w:id="22"/>
    <w:p>
      <w:pPr>
        <w:ind w:right="240"/>
        <w:spacing w:after="0" w:line="252" w:lineRule="auto"/>
        <w:rPr>
          <w:sz w:val="20"/>
          <w:szCs w:val="20"/>
          <w:color w:val="auto"/>
        </w:rPr>
      </w:pPr>
      <w:r>
        <w:rPr>
          <w:rFonts w:ascii="Times New Roman" w:cs="Times New Roman" w:eastAsia="Times New Roman" w:hAnsi="Times New Roman"/>
          <w:sz w:val="20"/>
          <w:szCs w:val="20"/>
          <w:color w:val="auto"/>
        </w:rPr>
        <w:t>EU Member States. Marketing authorization holders and/or manufacturing and import authorization, or marketing authorization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Data and market exclusivity</w:t>
      </w:r>
    </w:p>
    <w:p>
      <w:pPr>
        <w:spacing w:after="0" w:line="120" w:lineRule="exact"/>
        <w:rPr>
          <w:sz w:val="20"/>
          <w:szCs w:val="20"/>
          <w:color w:val="auto"/>
        </w:rPr>
      </w:pPr>
    </w:p>
    <w:p>
      <w:pPr>
        <w:ind w:right="40" w:firstLine="612"/>
        <w:spacing w:after="0" w:line="243" w:lineRule="auto"/>
        <w:rPr>
          <w:sz w:val="20"/>
          <w:szCs w:val="20"/>
          <w:color w:val="auto"/>
        </w:rPr>
      </w:pPr>
      <w:r>
        <w:rPr>
          <w:rFonts w:ascii="Times New Roman" w:cs="Times New Roman" w:eastAsia="Times New Roman" w:hAnsi="Times New Roman"/>
          <w:sz w:val="20"/>
          <w:szCs w:val="20"/>
          <w:color w:val="auto"/>
        </w:rPr>
        <w:t>The EU provides opportunities for data and market exclusivity related to marketing authorizations. Upon receiving a marketing authorization,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marketing authorization of the reference product in the EU.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82" w:lineRule="exact"/>
        <w:rPr>
          <w:sz w:val="20"/>
          <w:szCs w:val="20"/>
          <w:color w:val="auto"/>
        </w:rPr>
      </w:pPr>
    </w:p>
    <w:p>
      <w:pPr>
        <w:ind w:right="260" w:firstLine="612"/>
        <w:spacing w:after="0" w:line="249" w:lineRule="auto"/>
        <w:rPr>
          <w:sz w:val="20"/>
          <w:szCs w:val="20"/>
          <w:color w:val="auto"/>
        </w:rPr>
      </w:pPr>
      <w:r>
        <w:rPr>
          <w:rFonts w:ascii="Times New Roman" w:cs="Times New Roman" w:eastAsia="Times New Roman" w:hAnsi="Times New Roman"/>
          <w:sz w:val="20"/>
          <w:szCs w:val="20"/>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119" w:lineRule="exact"/>
        <w:rPr>
          <w:sz w:val="20"/>
          <w:szCs w:val="20"/>
          <w:color w:val="auto"/>
        </w:rPr>
      </w:pPr>
    </w:p>
    <w:p>
      <w:pPr>
        <w:ind w:right="40" w:firstLine="612"/>
        <w:spacing w:after="0" w:line="244" w:lineRule="auto"/>
        <w:rPr>
          <w:sz w:val="20"/>
          <w:szCs w:val="20"/>
          <w:color w:val="auto"/>
        </w:rPr>
      </w:pPr>
      <w:r>
        <w:rPr>
          <w:rFonts w:ascii="Times New Roman" w:cs="Times New Roman" w:eastAsia="Times New Roman" w:hAnsi="Times New Roman"/>
          <w:sz w:val="20"/>
          <w:szCs w:val="20"/>
          <w:color w:val="auto"/>
        </w:rPr>
        <w:t>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a life-threatening or chronically debilitating condition; (ii) either (a) such condition affects not more than five in 10,000 persons in the European Union when the application is made, or, (b) the product without the benefits derived from orphan status, would not generate sufficient return in the European Union to justify the necessary investment in its development; and (iii) there exists no satisfactory authorized method of diagnosis, prevention or treatment of the condition in question that has been authorized in the European Union or even, if such method exists, the product will be of significant benefit to those affected by that condition.</w:t>
      </w:r>
    </w:p>
    <w:p>
      <w:pPr>
        <w:spacing w:after="0" w:line="86"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0"/>
          <w:szCs w:val="20"/>
          <w:color w:val="auto"/>
        </w:rPr>
        <w:t>Regulation (EC) No. 847/2000 sets out further provisions for implementation of the criteria for designation of a medicinal product as an orphan medicinal product. An application for designation as an orphan product can be made any time prior to the submission of an MAA. A marketing authorization for an orphan medicinal product may only include indications designated as orphan. For non-orphan indications treated with the same active pharmaceutical ingredient, a separate marketing authorization has to be sought.</w:t>
      </w:r>
    </w:p>
    <w:p>
      <w:pPr>
        <w:spacing w:after="0" w:line="77" w:lineRule="exact"/>
        <w:rPr>
          <w:sz w:val="20"/>
          <w:szCs w:val="20"/>
          <w:color w:val="auto"/>
        </w:rPr>
      </w:pPr>
    </w:p>
    <w:p>
      <w:pPr>
        <w:ind w:right="140" w:firstLine="612"/>
        <w:spacing w:after="0" w:line="257" w:lineRule="auto"/>
        <w:rPr>
          <w:sz w:val="20"/>
          <w:szCs w:val="20"/>
          <w:color w:val="auto"/>
        </w:rPr>
      </w:pPr>
      <w:r>
        <w:rPr>
          <w:rFonts w:ascii="Times New Roman" w:cs="Times New Roman" w:eastAsia="Times New Roman" w:hAnsi="Times New Roman"/>
          <w:sz w:val="19"/>
          <w:szCs w:val="19"/>
          <w:color w:val="auto"/>
        </w:rPr>
        <w:t>Orphan medicinal product designation entitles an applicant to incentives such as fee reductions or fee waivers, protocol assistance, and access to the centralized marketing authorization procedure. Upon a grant of marketing authorization, orphan medicinal products are entitled to a 10-year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sectPr>
      </w:pPr>
    </w:p>
    <w:bookmarkStart w:id="23" w:name="page24"/>
    <w:bookmarkEnd w:id="23"/>
    <w:p>
      <w:pPr>
        <w:ind w:right="20"/>
        <w:spacing w:after="0" w:line="247" w:lineRule="auto"/>
        <w:rPr>
          <w:sz w:val="20"/>
          <w:szCs w:val="20"/>
          <w:color w:val="auto"/>
        </w:rPr>
      </w:pPr>
      <w:r>
        <w:rPr>
          <w:rFonts w:ascii="Times New Roman" w:cs="Times New Roman" w:eastAsia="Times New Roman" w:hAnsi="Times New Roman"/>
          <w:sz w:val="20"/>
          <w:szCs w:val="20"/>
          <w:color w:val="auto"/>
        </w:rPr>
        <w:t>or where the prevalence of the condition has increased above the threshold. Additionally, an MA may be granted to a similar medicinal product with the same orphan indication during the 10-year period if (i)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Post-authorization requirements</w:t>
      </w:r>
    </w:p>
    <w:p>
      <w:pPr>
        <w:spacing w:after="0" w:line="119" w:lineRule="exact"/>
        <w:rPr>
          <w:sz w:val="20"/>
          <w:szCs w:val="20"/>
          <w:color w:val="auto"/>
        </w:rPr>
      </w:pPr>
    </w:p>
    <w:p>
      <w:pPr>
        <w:ind w:right="120" w:firstLine="612"/>
        <w:spacing w:after="0" w:line="245" w:lineRule="auto"/>
        <w:rPr>
          <w:sz w:val="20"/>
          <w:szCs w:val="20"/>
          <w:color w:val="auto"/>
        </w:rPr>
      </w:pPr>
      <w:r>
        <w:rPr>
          <w:rFonts w:ascii="Times New Roman" w:cs="Times New Roman" w:eastAsia="Times New Roman" w:hAnsi="Times New Roman"/>
          <w:sz w:val="20"/>
          <w:szCs w:val="20"/>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81" w:lineRule="exact"/>
        <w:rPr>
          <w:sz w:val="20"/>
          <w:szCs w:val="20"/>
          <w:color w:val="auto"/>
        </w:rPr>
      </w:pPr>
    </w:p>
    <w:p>
      <w:pPr>
        <w:ind w:right="20" w:firstLine="612"/>
        <w:spacing w:after="0" w:line="249" w:lineRule="auto"/>
        <w:rPr>
          <w:sz w:val="20"/>
          <w:szCs w:val="20"/>
          <w:color w:val="auto"/>
        </w:rPr>
      </w:pPr>
      <w:r>
        <w:rPr>
          <w:rFonts w:ascii="Times New Roman" w:cs="Times New Roman" w:eastAsia="Times New Roman" w:hAnsi="Times New Roman"/>
          <w:sz w:val="20"/>
          <w:szCs w:val="20"/>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78" w:lineRule="exact"/>
        <w:rPr>
          <w:sz w:val="20"/>
          <w:szCs w:val="20"/>
          <w:color w:val="auto"/>
        </w:rPr>
      </w:pPr>
    </w:p>
    <w:p>
      <w:pPr>
        <w:ind w:right="40" w:firstLine="612"/>
        <w:spacing w:after="0" w:line="243" w:lineRule="auto"/>
        <w:rPr>
          <w:sz w:val="20"/>
          <w:szCs w:val="20"/>
          <w:color w:val="auto"/>
        </w:rPr>
      </w:pPr>
      <w:r>
        <w:rPr>
          <w:rFonts w:ascii="Times New Roman" w:cs="Times New Roman" w:eastAsia="Times New Roman" w:hAnsi="Times New Roman"/>
          <w:sz w:val="20"/>
          <w:szCs w:val="20"/>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which may require approval by the competent national authorities in connection with an MA. The SmPC is the document that provides information to physicians and other health care professionals concerning the safe and effective use of the product. Promotional activity that does not comply with the SmPC is considered off-label and is prohibited in the EU.</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European data collection and processing</w:t>
      </w:r>
    </w:p>
    <w:p>
      <w:pPr>
        <w:spacing w:after="0" w:line="119" w:lineRule="exact"/>
        <w:rPr>
          <w:sz w:val="20"/>
          <w:szCs w:val="20"/>
          <w:color w:val="auto"/>
        </w:rPr>
      </w:pPr>
    </w:p>
    <w:p>
      <w:pPr>
        <w:ind w:firstLine="612"/>
        <w:spacing w:after="0" w:line="242" w:lineRule="auto"/>
        <w:rPr>
          <w:sz w:val="20"/>
          <w:szCs w:val="20"/>
          <w:color w:val="auto"/>
        </w:rPr>
      </w:pPr>
      <w:r>
        <w:rPr>
          <w:rFonts w:ascii="Times New Roman" w:cs="Times New Roman" w:eastAsia="Times New Roman" w:hAnsi="Times New Roman"/>
          <w:sz w:val="20"/>
          <w:szCs w:val="20"/>
          <w:color w:val="auto"/>
        </w:rPr>
        <w:t>The collection, receipt, storage, generation, transfer, access, protection, securing, disposal, transmittal, sharing, use, disclosure and other processing (commonly referred to as processing) of health- related and other personal data about clinical trials participants and other individuals in Europe is governed by the European Union’s General Data Protection Regulation (“EU GDPR”). The EU GDPR requires companies to, among other things, give detailed disclosures about how they are processing personal data; ensure any consents relied on to process personal data (including special categories of personal data, such as health information) meet the strict EU GDPR requirements; contractually impose data protection measures on vendors entrusted with personal data; maintain adequate data security measures; notify regulators and affected individuals of certain data breaches; meet extensive privacy governance and documentation requirements; honor individuals’ data protection rights, including their rights to access, correct and delete their personal data; and refrain from transferring personal data from Europe to most other countries unless specific safeguards can be implemented. Companies that violate the EU GDPR can face private litigation, prohibitions on data processing and heavy fines. Complying with the EU GDPR may be costly and require us to limit our activities in Europe. If our efforts to comply are not successful, we may face litigation, reputational harm, significant penalties and other liabilities.</w:t>
      </w:r>
    </w:p>
    <w:p>
      <w:pPr>
        <w:spacing w:after="0" w:line="2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Marketing</w:t>
      </w:r>
    </w:p>
    <w:p>
      <w:pPr>
        <w:spacing w:after="0" w:line="119" w:lineRule="exact"/>
        <w:rPr>
          <w:sz w:val="20"/>
          <w:szCs w:val="20"/>
          <w:color w:val="auto"/>
        </w:rPr>
      </w:pPr>
    </w:p>
    <w:p>
      <w:pPr>
        <w:ind w:right="240" w:firstLine="612"/>
        <w:spacing w:after="0" w:line="259" w:lineRule="auto"/>
        <w:rPr>
          <w:sz w:val="20"/>
          <w:szCs w:val="20"/>
          <w:color w:val="auto"/>
        </w:rPr>
      </w:pPr>
      <w:r>
        <w:rPr>
          <w:rFonts w:ascii="Times New Roman" w:cs="Times New Roman" w:eastAsia="Times New Roman" w:hAnsi="Times New Roman"/>
          <w:sz w:val="20"/>
          <w:szCs w:val="20"/>
          <w:color w:val="auto"/>
        </w:rPr>
        <w:t>Much like the Anti-Kickback Statute prohibition in the United States, as described below, the provision of benefits or advantages to physicians and other health care professionals to induce or encourage the prescription, recommendation, endorsement, purchase, supply, order or use of medicinal products is also prohibited in the EU.</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0" w:right="1440" w:bottom="175" w:gutter="0" w:footer="0" w:header="0"/>
        </w:sectPr>
      </w:pPr>
    </w:p>
    <w:bookmarkStart w:id="24" w:name="page25"/>
    <w:bookmarkEnd w:id="24"/>
    <w:p>
      <w:pPr>
        <w:ind w:right="80"/>
        <w:spacing w:after="0" w:line="249" w:lineRule="auto"/>
        <w:rPr>
          <w:sz w:val="20"/>
          <w:szCs w:val="20"/>
          <w:color w:val="auto"/>
        </w:rPr>
      </w:pPr>
      <w:r>
        <w:rPr>
          <w:rFonts w:ascii="Times New Roman" w:cs="Times New Roman" w:eastAsia="Times New Roman" w:hAnsi="Times New Roman"/>
          <w:sz w:val="20"/>
          <w:szCs w:val="20"/>
          <w:color w:val="auto"/>
        </w:rPr>
        <w:t>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spacing w:after="0" w:line="77" w:lineRule="exact"/>
        <w:rPr>
          <w:sz w:val="20"/>
          <w:szCs w:val="20"/>
          <w:color w:val="auto"/>
        </w:rPr>
      </w:pPr>
    </w:p>
    <w:p>
      <w:pPr>
        <w:ind w:right="140" w:firstLine="612"/>
        <w:spacing w:after="0" w:line="246" w:lineRule="auto"/>
        <w:rPr>
          <w:sz w:val="20"/>
          <w:szCs w:val="20"/>
          <w:color w:val="auto"/>
        </w:rPr>
      </w:pPr>
      <w:r>
        <w:rPr>
          <w:rFonts w:ascii="Times New Roman" w:cs="Times New Roman" w:eastAsia="Times New Roman" w:hAnsi="Times New Roman"/>
          <w:sz w:val="20"/>
          <w:szCs w:val="20"/>
          <w:color w:val="auto"/>
        </w:rPr>
        <w:t>Payments made to physicians and other health care professionals in certain European Union Member States must be publicly disclosed. Moreover, agreements with health care professionals may require prior notification or approval by the health care professional’s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regulation</w:t>
      </w:r>
    </w:p>
    <w:p>
      <w:pPr>
        <w:spacing w:after="0" w:line="120" w:lineRule="exact"/>
        <w:rPr>
          <w:sz w:val="20"/>
          <w:szCs w:val="20"/>
          <w:color w:val="auto"/>
        </w:rPr>
      </w:pPr>
    </w:p>
    <w:p>
      <w:pPr>
        <w:ind w:right="80" w:firstLine="612"/>
        <w:spacing w:after="0" w:line="258" w:lineRule="auto"/>
        <w:rPr>
          <w:sz w:val="20"/>
          <w:szCs w:val="20"/>
          <w:color w:val="auto"/>
        </w:rPr>
      </w:pPr>
      <w:r>
        <w:rPr>
          <w:rFonts w:ascii="Times New Roman" w:cs="Times New Roman" w:eastAsia="Times New Roman" w:hAnsi="Times New Roman"/>
          <w:sz w:val="20"/>
          <w:szCs w:val="20"/>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 and regulations and legislative reform</w:t>
      </w:r>
    </w:p>
    <w:p>
      <w:pPr>
        <w:spacing w:after="0" w:line="120"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0"/>
          <w:szCs w:val="20"/>
          <w:color w:val="auto"/>
        </w:rPr>
        <w:t>Healthcare providers and third-party payors will play a primary role in the recommendation and prescription of any product candidates for which we obtain marketing approval. Our operations, including any arrangements with healthcare providers, third-party payors and customers may expose us to broadly applicable fraud and abuse and other healthcare laws that may affect the business or financial arrangements and relationships through which we conduct research and would market, sell and distribute our products. The healthcare laws that may affect our ability to operate include, but are not limited to:</w:t>
      </w:r>
    </w:p>
    <w:p>
      <w:pPr>
        <w:spacing w:after="0" w:line="94" w:lineRule="exact"/>
        <w:rPr>
          <w:sz w:val="20"/>
          <w:szCs w:val="20"/>
          <w:color w:val="auto"/>
        </w:rPr>
      </w:pPr>
    </w:p>
    <w:p>
      <w:pPr>
        <w:ind w:left="980" w:hanging="492"/>
        <w:spacing w:after="0" w:line="241" w:lineRule="auto"/>
        <w:tabs>
          <w:tab w:leader="none" w:pos="98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Affordable Care Act), to a stricter standard such that a person or entity does not need to have actual knowledge of the statute or specific intent to violate it in order to have committed a violation. Further, the Affordable Care Act codified case law that a claim including items or services resulting from a violation of the federal Anti-Kickback Statute constitutes a false or fraudulent claim for purposes of the civil False Claims Act.</w:t>
      </w:r>
    </w:p>
    <w:p>
      <w:pPr>
        <w:spacing w:after="0" w:line="102" w:lineRule="exact"/>
        <w:rPr>
          <w:rFonts w:ascii="Symbol" w:cs="Symbol" w:eastAsia="Symbol" w:hAnsi="Symbol"/>
          <w:sz w:val="20"/>
          <w:szCs w:val="20"/>
          <w:color w:val="auto"/>
        </w:rPr>
      </w:pPr>
    </w:p>
    <w:p>
      <w:pPr>
        <w:ind w:left="980" w:hanging="492"/>
        <w:spacing w:after="0" w:line="242" w:lineRule="auto"/>
        <w:tabs>
          <w:tab w:leader="none" w:pos="98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color w:val="auto"/>
        </w:rPr>
        <w:t>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 As a result of a modification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0" w:right="1440" w:bottom="175" w:gutter="0" w:footer="0" w:header="0"/>
        </w:sectPr>
      </w:pPr>
    </w:p>
    <w:bookmarkStart w:id="25" w:name="page26"/>
    <w:bookmarkEnd w:id="25"/>
    <w:p>
      <w:pPr>
        <w:jc w:val="both"/>
        <w:ind w:left="980" w:right="160"/>
        <w:spacing w:after="0" w:line="252" w:lineRule="auto"/>
        <w:rPr>
          <w:sz w:val="20"/>
          <w:szCs w:val="20"/>
          <w:color w:val="auto"/>
        </w:rPr>
      </w:pPr>
      <w:r>
        <w:rPr>
          <w:rFonts w:ascii="Times New Roman" w:cs="Times New Roman" w:eastAsia="Times New Roman" w:hAnsi="Times New Roman"/>
          <w:sz w:val="20"/>
          <w:szCs w:val="20"/>
          <w:color w:val="auto"/>
        </w:rPr>
        <w:t>made by the Fraud Enforcement and Recovery Act of 2009, a claim includes “any request or demand” for money or property presented to the U.S. government. In addition, manufacturers can be held liable under the False Claims Act even when they do not submit claims directly to government payors if they are deemed to “cause” the submission of false or fraudulent claims.</w:t>
      </w:r>
    </w:p>
    <w:p>
      <w:pPr>
        <w:spacing w:after="0" w:line="88" w:lineRule="exact"/>
        <w:rPr>
          <w:sz w:val="20"/>
          <w:szCs w:val="20"/>
          <w:color w:val="auto"/>
        </w:rPr>
      </w:pPr>
    </w:p>
    <w:p>
      <w:pPr>
        <w:ind w:left="980" w:right="40" w:hanging="492"/>
        <w:spacing w:after="0" w:line="242" w:lineRule="auto"/>
        <w:tabs>
          <w:tab w:leader="none" w:pos="9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02" w:lineRule="exact"/>
        <w:rPr>
          <w:rFonts w:ascii="Symbol" w:cs="Symbol" w:eastAsia="Symbol" w:hAnsi="Symbol"/>
          <w:sz w:val="20"/>
          <w:szCs w:val="20"/>
          <w:color w:val="auto"/>
        </w:rPr>
      </w:pPr>
    </w:p>
    <w:p>
      <w:pPr>
        <w:ind w:left="980" w:hanging="492"/>
        <w:spacing w:after="0" w:line="242" w:lineRule="auto"/>
        <w:tabs>
          <w:tab w:leader="none" w:pos="9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(HITECH), and their implementing regulations, which impose privacy, security and data breach reporting obligations with respect to individually identifiable health information upon entities subject to the law, such as health plans, healthcare clearinghouses and certain healthcare providers, known as covered entities, and their respective business associates and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99" w:lineRule="exact"/>
        <w:rPr>
          <w:rFonts w:ascii="Symbol" w:cs="Symbol" w:eastAsia="Symbol" w:hAnsi="Symbol"/>
          <w:sz w:val="20"/>
          <w:szCs w:val="20"/>
          <w:color w:val="auto"/>
        </w:rPr>
      </w:pPr>
    </w:p>
    <w:p>
      <w:pPr>
        <w:ind w:left="980" w:right="80" w:hanging="492"/>
        <w:spacing w:after="0" w:line="262" w:lineRule="auto"/>
        <w:tabs>
          <w:tab w:leader="none" w:pos="9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Federal and state consumer protection and unfair competition laws, which broadly regulate marketplace activities and activities that potentially harm consumers.</w:t>
      </w:r>
    </w:p>
    <w:p>
      <w:pPr>
        <w:spacing w:after="0" w:line="76" w:lineRule="exact"/>
        <w:rPr>
          <w:rFonts w:ascii="Symbol" w:cs="Symbol" w:eastAsia="Symbol" w:hAnsi="Symbol"/>
          <w:sz w:val="20"/>
          <w:szCs w:val="20"/>
          <w:color w:val="auto"/>
        </w:rPr>
      </w:pPr>
    </w:p>
    <w:p>
      <w:pPr>
        <w:ind w:left="980" w:right="160" w:hanging="492"/>
        <w:spacing w:after="0" w:line="257" w:lineRule="auto"/>
        <w:tabs>
          <w:tab w:leader="none" w:pos="980" w:val="left"/>
        </w:tabs>
        <w:numPr>
          <w:ilvl w:val="0"/>
          <w:numId w:val="19"/>
        </w:numPr>
        <w:rPr>
          <w:rFonts w:ascii="Symbol" w:cs="Symbol" w:eastAsia="Symbol" w:hAnsi="Symbol"/>
          <w:sz w:val="19"/>
          <w:szCs w:val="19"/>
          <w:color w:val="auto"/>
        </w:rPr>
      </w:pPr>
      <w:r>
        <w:rPr>
          <w:rFonts w:ascii="Times New Roman" w:cs="Times New Roman" w:eastAsia="Times New Roman" w:hAnsi="Times New Roman"/>
          <w:sz w:val="19"/>
          <w:szCs w:val="19"/>
          <w:color w:val="auto"/>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annually to the Centers for Medicare &amp; Medicaid Services (CMS) information related to payments and other transfers of value provided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spacing w:after="0" w:line="87" w:lineRule="exact"/>
        <w:rPr>
          <w:rFonts w:ascii="Symbol" w:cs="Symbol" w:eastAsia="Symbol" w:hAnsi="Symbol"/>
          <w:sz w:val="19"/>
          <w:szCs w:val="19"/>
          <w:color w:val="auto"/>
        </w:rPr>
      </w:pPr>
    </w:p>
    <w:p>
      <w:pPr>
        <w:jc w:val="both"/>
        <w:ind w:left="980" w:right="240" w:hanging="492"/>
        <w:spacing w:after="0" w:line="250" w:lineRule="auto"/>
        <w:tabs>
          <w:tab w:leader="none" w:pos="9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90" w:lineRule="exact"/>
        <w:rPr>
          <w:rFonts w:ascii="Symbol" w:cs="Symbol" w:eastAsia="Symbol" w:hAnsi="Symbol"/>
          <w:sz w:val="20"/>
          <w:szCs w:val="20"/>
          <w:color w:val="auto"/>
        </w:rPr>
      </w:pPr>
    </w:p>
    <w:p>
      <w:pPr>
        <w:ind w:left="980" w:hanging="492"/>
        <w:spacing w:after="0" w:line="241" w:lineRule="auto"/>
        <w:tabs>
          <w:tab w:leader="none" w:pos="98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color w:val="auto"/>
        </w:rPr>
        <w:t>State and foreign laws that require pharmaceutical companies to implement compliance programs, comply with the pharmaceutical industry’s voluntary compliance guidelines and the relevant compliance guidance promulgated by the government, or to track and report gifts, compensation and other remuneration provided to physicians and other healthcare professionals; state and foreign laws that require the reporting of marketing expenditures or drug pricing, including information pertaining to and justifying price increases; state and local laws that require certain regulatory licenses to manufacture or distribute our products commercially and/or the registration of pharmaceutical sales representatives; state and foreign laws that prohibit various marketing-related activities, such as the provision of certain kinds of gifts or meals; state and foreign laws that require the posting of information relating to clinical trials and their outcomes; and other federal, state and foreign laws that govern the privacy and security of health information or personal data in certain circumstances, including state health information privacy and data breach notification laws which govern the processing of health-related and other personal data, many of which differ from each other in significant ways and often are not pre-empted by HIPAA, thus requiring additional compliance efforts.</w:t>
      </w:r>
    </w:p>
    <w:p>
      <w:pPr>
        <w:spacing w:after="0" w:line="91" w:lineRule="exact"/>
        <w:rPr>
          <w:sz w:val="20"/>
          <w:szCs w:val="20"/>
          <w:color w:val="auto"/>
        </w:rPr>
      </w:pPr>
    </w:p>
    <w:p>
      <w:pPr>
        <w:jc w:val="both"/>
        <w:ind w:right="300" w:firstLine="612"/>
        <w:spacing w:after="0" w:line="305" w:lineRule="auto"/>
        <w:rPr>
          <w:sz w:val="20"/>
          <w:szCs w:val="20"/>
          <w:color w:val="auto"/>
        </w:rPr>
      </w:pPr>
      <w:r>
        <w:rPr>
          <w:rFonts w:ascii="Times New Roman" w:cs="Times New Roman" w:eastAsia="Times New Roman" w:hAnsi="Times New Roman"/>
          <w:sz w:val="19"/>
          <w:szCs w:val="19"/>
          <w:color w:val="auto"/>
        </w:rPr>
        <w:t>If our operations are found to be in violation of any of these laws or any other current or future healthcare laws that may apply to us, we may be subject to significant civil, criminal and administrative penalties, damages,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0" w:right="1440" w:bottom="175" w:gutter="0" w:footer="0" w:header="0"/>
        </w:sectPr>
      </w:pPr>
    </w:p>
    <w:bookmarkStart w:id="26" w:name="page27"/>
    <w:bookmarkEnd w:id="26"/>
    <w:p>
      <w:pPr>
        <w:ind w:right="20"/>
        <w:spacing w:after="0" w:line="243" w:lineRule="auto"/>
        <w:rPr>
          <w:sz w:val="20"/>
          <w:szCs w:val="20"/>
          <w:color w:val="auto"/>
        </w:rPr>
      </w:pPr>
      <w:r>
        <w:rPr>
          <w:rFonts w:ascii="Times New Roman" w:cs="Times New Roman" w:eastAsia="Times New Roman" w:hAnsi="Times New Roman"/>
          <w:sz w:val="20"/>
          <w:szCs w:val="20"/>
          <w:color w:val="auto"/>
        </w:rPr>
        <w:t>fines, disgorgement, imprisonment, exclusion from government funded healthcare programs, such as Medicare and Medicaid, or comparable foreign programs,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professionals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Legislative reform</w:t>
      </w:r>
    </w:p>
    <w:p>
      <w:pPr>
        <w:spacing w:after="0" w:line="119" w:lineRule="exact"/>
        <w:rPr>
          <w:sz w:val="20"/>
          <w:szCs w:val="20"/>
          <w:color w:val="auto"/>
        </w:rPr>
      </w:pPr>
    </w:p>
    <w:p>
      <w:pPr>
        <w:ind w:right="180" w:firstLine="612"/>
        <w:spacing w:after="0" w:line="247" w:lineRule="auto"/>
        <w:rPr>
          <w:sz w:val="20"/>
          <w:szCs w:val="20"/>
          <w:color w:val="auto"/>
        </w:rPr>
      </w:pPr>
      <w:r>
        <w:rPr>
          <w:rFonts w:ascii="Times New Roman" w:cs="Times New Roman" w:eastAsia="Times New Roman" w:hAnsi="Times New Roman"/>
          <w:sz w:val="20"/>
          <w:szCs w:val="20"/>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80" w:lineRule="exact"/>
        <w:rPr>
          <w:sz w:val="20"/>
          <w:szCs w:val="20"/>
          <w:color w:val="auto"/>
        </w:rPr>
      </w:pPr>
    </w:p>
    <w:p>
      <w:pPr>
        <w:ind w:right="220" w:firstLine="612"/>
        <w:spacing w:after="0" w:line="252" w:lineRule="auto"/>
        <w:rPr>
          <w:sz w:val="20"/>
          <w:szCs w:val="20"/>
          <w:color w:val="auto"/>
        </w:rPr>
      </w:pPr>
      <w:r>
        <w:rPr>
          <w:rFonts w:ascii="Times New Roman" w:cs="Times New Roman" w:eastAsia="Times New Roman" w:hAnsi="Times New Roman"/>
          <w:sz w:val="20"/>
          <w:szCs w:val="20"/>
          <w:color w:val="auto"/>
        </w:rPr>
        <w:t>For example, the United States and state governments continue to propose and pass legislation designed to reduce the cost of healthcare. The Affordable Care Act, among other things, substantially changed the way healthcare is financed by both governmental and private insurers, and significantly affected the pharmaceutical industry.</w:t>
      </w:r>
    </w:p>
    <w:p>
      <w:pPr>
        <w:spacing w:after="0" w:line="185"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There have been executive, judicial and congressional challenges and amendments to certain aspects of the Affordable Care Act.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84" w:lineRule="exact"/>
        <w:rPr>
          <w:sz w:val="20"/>
          <w:szCs w:val="20"/>
          <w:color w:val="auto"/>
        </w:rPr>
      </w:pPr>
    </w:p>
    <w:p>
      <w:pPr>
        <w:ind w:right="160" w:firstLine="612"/>
        <w:spacing w:after="0" w:line="252" w:lineRule="auto"/>
        <w:rPr>
          <w:sz w:val="20"/>
          <w:szCs w:val="20"/>
          <w:color w:val="auto"/>
        </w:rPr>
      </w:pPr>
      <w:r>
        <w:rPr>
          <w:rFonts w:ascii="Times New Roman" w:cs="Times New Roman" w:eastAsia="Times New Roman" w:hAnsi="Times New Roman"/>
          <w:sz w:val="20"/>
          <w:szCs w:val="20"/>
          <w:color w:val="auto"/>
        </w:rPr>
        <w:t>In addition, there have been and continue to be a number of initiatives at the United States federal and state levels that seek to reduce healthcare costs. These changes include aggregate reductions to Medicare payments to providers of 2% per fiscal year, which began in 2013 and will remain in effect until 2032 unless additional Congressional action is taken.</w:t>
      </w:r>
    </w:p>
    <w:p>
      <w:pPr>
        <w:spacing w:after="0" w:line="185" w:lineRule="exact"/>
        <w:rPr>
          <w:sz w:val="20"/>
          <w:szCs w:val="20"/>
          <w:color w:val="auto"/>
        </w:rPr>
      </w:pPr>
    </w:p>
    <w:p>
      <w:pPr>
        <w:ind w:right="140" w:firstLine="720"/>
        <w:spacing w:after="0" w:line="242"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20" w:right="1440" w:bottom="175" w:gutter="0" w:footer="0" w:header="0"/>
        </w:sectPr>
      </w:pPr>
    </w:p>
    <w:bookmarkStart w:id="27" w:name="page28"/>
    <w:bookmarkEnd w:id="27"/>
    <w:p>
      <w:pPr>
        <w:ind w:right="40"/>
        <w:spacing w:after="0" w:line="247" w:lineRule="auto"/>
        <w:rPr>
          <w:sz w:val="20"/>
          <w:szCs w:val="20"/>
          <w:color w:val="auto"/>
        </w:rPr>
      </w:pPr>
      <w:r>
        <w:rPr>
          <w:rFonts w:ascii="Times New Roman" w:cs="Times New Roman" w:eastAsia="Times New Roman" w:hAnsi="Times New Roman"/>
          <w:sz w:val="20"/>
          <w:szCs w:val="20"/>
          <w:color w:val="auto"/>
        </w:rPr>
        <w:t>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health and safety laws and regulations</w:t>
      </w:r>
    </w:p>
    <w:p>
      <w:pPr>
        <w:spacing w:after="0" w:line="119" w:lineRule="exact"/>
        <w:rPr>
          <w:sz w:val="20"/>
          <w:szCs w:val="20"/>
          <w:color w:val="auto"/>
        </w:rPr>
      </w:pPr>
    </w:p>
    <w:p>
      <w:pPr>
        <w:ind w:firstLine="612"/>
        <w:spacing w:after="0" w:line="243" w:lineRule="auto"/>
        <w:rPr>
          <w:sz w:val="20"/>
          <w:szCs w:val="20"/>
          <w:color w:val="auto"/>
        </w:rPr>
      </w:pPr>
      <w:r>
        <w:rPr>
          <w:rFonts w:ascii="Times New Roman" w:cs="Times New Roman" w:eastAsia="Times New Roman" w:hAnsi="Times New Roman"/>
          <w:sz w:val="20"/>
          <w:szCs w:val="20"/>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particular, our product candidates use PBDs, which are highly potent cytotoxins that require special handling by our and our contractors’ staff. In the event of contamination or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Pharmaceutical coverage, pricing and reimbursement</w:t>
      </w:r>
    </w:p>
    <w:p>
      <w:pPr>
        <w:spacing w:after="0" w:line="120" w:lineRule="exact"/>
        <w:rPr>
          <w:sz w:val="20"/>
          <w:szCs w:val="20"/>
          <w:color w:val="auto"/>
        </w:rPr>
      </w:pPr>
    </w:p>
    <w:p>
      <w:pPr>
        <w:ind w:firstLine="612"/>
        <w:spacing w:after="0" w:line="247" w:lineRule="auto"/>
        <w:rPr>
          <w:sz w:val="20"/>
          <w:szCs w:val="20"/>
          <w:color w:val="auto"/>
        </w:rPr>
      </w:pPr>
      <w:r>
        <w:rPr>
          <w:rFonts w:ascii="Times New Roman" w:cs="Times New Roman" w:eastAsia="Times New Roman" w:hAnsi="Times New Roman"/>
          <w:sz w:val="20"/>
          <w:szCs w:val="20"/>
          <w:color w:val="auto"/>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 party payors, such as government health programs, commercial insurance and managed healthcare organizations. These third-party payors decide which products will be covered and establish reimbursement levels for those products.</w:t>
      </w:r>
    </w:p>
    <w:p>
      <w:pPr>
        <w:spacing w:after="0" w:line="80" w:lineRule="exact"/>
        <w:rPr>
          <w:sz w:val="20"/>
          <w:szCs w:val="20"/>
          <w:color w:val="auto"/>
        </w:rPr>
      </w:pPr>
    </w:p>
    <w:p>
      <w:pPr>
        <w:ind w:right="360" w:firstLine="612"/>
        <w:spacing w:after="0" w:line="278" w:lineRule="auto"/>
        <w:rPr>
          <w:sz w:val="20"/>
          <w:szCs w:val="20"/>
          <w:color w:val="auto"/>
        </w:rPr>
      </w:pPr>
      <w:r>
        <w:rPr>
          <w:rFonts w:ascii="Times New Roman" w:cs="Times New Roman" w:eastAsia="Times New Roman" w:hAnsi="Times New Roman"/>
          <w:sz w:val="20"/>
          <w:szCs w:val="20"/>
          <w:color w:val="auto"/>
        </w:rPr>
        <w:t>Coverage and reimbursement by a third-party payor may depend upon a number of factors, including the third-party payor’s determination that use of a product is:</w:t>
      </w:r>
    </w:p>
    <w:p>
      <w:pPr>
        <w:spacing w:after="0" w:line="61" w:lineRule="exact"/>
        <w:rPr>
          <w:sz w:val="20"/>
          <w:szCs w:val="20"/>
          <w:color w:val="auto"/>
        </w:rPr>
      </w:pPr>
    </w:p>
    <w:p>
      <w:pPr>
        <w:ind w:left="980" w:hanging="492"/>
        <w:spacing w:after="0"/>
        <w:tabs>
          <w:tab w:leader="none" w:pos="9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appropriate for the specific patient;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cost-effective; and</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104" w:lineRule="exact"/>
        <w:rPr>
          <w:sz w:val="20"/>
          <w:szCs w:val="20"/>
          <w:color w:val="auto"/>
        </w:rPr>
      </w:pPr>
    </w:p>
    <w:p>
      <w:pPr>
        <w:ind w:right="80" w:firstLine="612"/>
        <w:spacing w:after="0" w:line="245" w:lineRule="auto"/>
        <w:rPr>
          <w:sz w:val="20"/>
          <w:szCs w:val="20"/>
          <w:color w:val="auto"/>
        </w:rPr>
      </w:pPr>
      <w:r>
        <w:rPr>
          <w:rFonts w:ascii="Times New Roman" w:cs="Times New Roman" w:eastAsia="Times New Roman" w:hAnsi="Times New Roman"/>
          <w:sz w:val="20"/>
          <w:szCs w:val="20"/>
          <w:color w:val="auto"/>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spacing w:after="0" w:line="81" w:lineRule="exact"/>
        <w:rPr>
          <w:sz w:val="20"/>
          <w:szCs w:val="20"/>
          <w:color w:val="auto"/>
        </w:rPr>
      </w:pPr>
    </w:p>
    <w:p>
      <w:pPr>
        <w:ind w:right="80" w:firstLine="612"/>
        <w:spacing w:after="0" w:line="260" w:lineRule="auto"/>
        <w:rPr>
          <w:sz w:val="20"/>
          <w:szCs w:val="20"/>
          <w:color w:val="auto"/>
        </w:rPr>
      </w:pPr>
      <w:r>
        <w:rPr>
          <w:rFonts w:ascii="Times New Roman" w:cs="Times New Roman" w:eastAsia="Times New Roman" w:hAnsi="Times New Roman"/>
          <w:sz w:val="19"/>
          <w:szCs w:val="19"/>
          <w:color w:val="auto"/>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20" w:right="1440" w:bottom="175" w:gutter="0" w:footer="0" w:header="0"/>
        </w:sectPr>
      </w:pPr>
    </w:p>
    <w:bookmarkStart w:id="28" w:name="page29"/>
    <w:bookmarkEnd w:id="28"/>
    <w:p>
      <w:pPr>
        <w:ind w:right="40"/>
        <w:spacing w:after="0" w:line="247" w:lineRule="auto"/>
        <w:rPr>
          <w:sz w:val="20"/>
          <w:szCs w:val="20"/>
          <w:color w:val="auto"/>
        </w:rPr>
      </w:pPr>
      <w:r>
        <w:rPr>
          <w:rFonts w:ascii="Times New Roman" w:cs="Times New Roman" w:eastAsia="Times New Roman" w:hAnsi="Times New Roman"/>
          <w:sz w:val="20"/>
          <w:szCs w:val="20"/>
          <w:color w:val="auto"/>
        </w:rPr>
        <w:t>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Therefore, it is possible that any of our product candidates, even if approved, may not be covered by third-party payors or the reimbursement limit may be so restrictive that we cannot commercialize the product candidates profitably.</w:t>
      </w:r>
    </w:p>
    <w:p>
      <w:pPr>
        <w:spacing w:after="0" w:line="18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Further, the increased emphasis on cost containment in the United States will put additional pressure on product pricing, reimbursement and usage.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81" w:lineRule="exact"/>
        <w:rPr>
          <w:sz w:val="20"/>
          <w:szCs w:val="20"/>
          <w:color w:val="auto"/>
        </w:rPr>
      </w:pPr>
    </w:p>
    <w:p>
      <w:pPr>
        <w:ind w:right="40" w:firstLine="612"/>
        <w:spacing w:after="0" w:line="241" w:lineRule="auto"/>
        <w:rPr>
          <w:sz w:val="20"/>
          <w:szCs w:val="20"/>
          <w:color w:val="auto"/>
        </w:rPr>
      </w:pPr>
      <w:r>
        <w:rPr>
          <w:rFonts w:ascii="Times New Roman" w:cs="Times New Roman" w:eastAsia="Times New Roman" w:hAnsi="Times New Roman"/>
          <w:sz w:val="20"/>
          <w:szCs w:val="20"/>
          <w:color w:val="auto"/>
        </w:rPr>
        <w:t>Reimbursement authorities in Europe may be more restrictive than payors in the United States. In Europe, pricing and reimbursement schemes vary widely from country to country.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Other EU Member States allow companies to fix their own prices for product but monitor and control prescription volumes and issue guidance to physicians to limit prescriptions. In addition, some EU Member States may require the completion of additional studies that compare the cost-effectiveness of a particular medicinal product candidate to currently available therapies. This Health Technology Assessment (HTA) process is conducted to assess the public health impact, therapeutic impact, and the economic and societal impact of use of a given medicinal product in the national healthcare systems of individual countries. The outcome of HTA regarding specific medicinal products will often influence the pricing and reimbursement status granted to these medicinal products by the competent authorities of individual EU Member States. In December 2021, Regulation No. 2021/2282 on Health Technology Assessment, or HTA Regulation, was adopted. The HTA Regulation is intended to boost cooperation among EU Member States in assessing health technologies, including new medicinal products, and providing the basis for cooperation at EU level for joint clinical assessments in these areas. The HTA Regulation has applied from January 12, 2025 although it will enter into force iteratively and initially apply to new active substances to treat cancer and to all advanced therapy medicinal products (“ATMPs”), it will then be expanded to orphan medicinal products in January 2028, and to all centrally authorized medicinal products as of 2030. Selected high-risk medical devices will also be assessed under the HTA Regulation as of 2026.</w:t>
      </w:r>
    </w:p>
    <w:p>
      <w:pPr>
        <w:spacing w:after="0" w:line="97" w:lineRule="exact"/>
        <w:rPr>
          <w:sz w:val="20"/>
          <w:szCs w:val="20"/>
          <w:color w:val="auto"/>
        </w:rPr>
      </w:pPr>
    </w:p>
    <w:p>
      <w:pPr>
        <w:ind w:right="20" w:firstLine="612"/>
        <w:spacing w:after="0" w:line="243" w:lineRule="auto"/>
        <w:rPr>
          <w:sz w:val="20"/>
          <w:szCs w:val="20"/>
          <w:color w:val="auto"/>
        </w:rPr>
      </w:pPr>
      <w:r>
        <w:rPr>
          <w:rFonts w:ascii="Times New Roman" w:cs="Times New Roman" w:eastAsia="Times New Roman" w:hAnsi="Times New Roman"/>
          <w:sz w:val="20"/>
          <w:szCs w:val="20"/>
          <w:color w:val="auto"/>
        </w:rPr>
        <w:t>Reference pricing used by various European Union Member States and parallel distribution, or arbitrage between low- priced and high-priced Member States, can further reduce prices. Furthermore, many Member States in the European Union have increased the amount of discounts required on pharmaceutical products, and these efforts could continue as countries attempt to manage healthcare expenditures, especially in light of the severe fiscal and debt crises experienced by many Member States in the European Union.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spacing w:after="0" w:line="88" w:lineRule="exact"/>
        <w:rPr>
          <w:sz w:val="20"/>
          <w:szCs w:val="20"/>
          <w:color w:val="auto"/>
        </w:rPr>
      </w:pPr>
    </w:p>
    <w:p>
      <w:pPr>
        <w:ind w:right="20" w:firstLine="612"/>
        <w:spacing w:after="0" w:line="278" w:lineRule="auto"/>
        <w:rPr>
          <w:sz w:val="20"/>
          <w:szCs w:val="20"/>
          <w:color w:val="auto"/>
        </w:rPr>
      </w:pPr>
      <w:r>
        <w:rPr>
          <w:rFonts w:ascii="Times New Roman" w:cs="Times New Roman" w:eastAsia="Times New Roman" w:hAnsi="Times New Roman"/>
          <w:sz w:val="19"/>
          <w:szCs w:val="19"/>
          <w:color w:val="auto"/>
        </w:rPr>
        <w:t>Furthermore, the containment of healthcare costs has become a priority of foreign and domestic governments as well as private third- party payors. The prices of drugs have been a focus in this effort. Governments and private third-party payors have attempted to control costs by limiting coverage and the amount of reimbursement for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20" w:right="1440" w:bottom="175" w:gutter="0" w:footer="0" w:header="0"/>
        </w:sectPr>
      </w:pPr>
    </w:p>
    <w:bookmarkStart w:id="29" w:name="page30"/>
    <w:bookmarkEnd w:id="29"/>
    <w:p>
      <w:pPr>
        <w:ind w:right="20"/>
        <w:spacing w:after="0" w:line="244" w:lineRule="auto"/>
        <w:rPr>
          <w:sz w:val="20"/>
          <w:szCs w:val="20"/>
          <w:color w:val="auto"/>
        </w:rPr>
      </w:pPr>
      <w:r>
        <w:rPr>
          <w:rFonts w:ascii="Times New Roman" w:cs="Times New Roman" w:eastAsia="Times New Roman" w:hAnsi="Times New Roman"/>
          <w:sz w:val="20"/>
          <w:szCs w:val="20"/>
          <w:color w:val="auto"/>
        </w:rPr>
        <w:t>particular medications, which could affect our ability to sell our product candidates profitably.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3" w:lineRule="exact"/>
        <w:rPr>
          <w:sz w:val="20"/>
          <w:szCs w:val="20"/>
          <w:color w:val="auto"/>
        </w:rPr>
      </w:pPr>
    </w:p>
    <w:p>
      <w:pPr>
        <w:ind w:right="260" w:firstLine="490"/>
        <w:spacing w:after="0" w:line="305" w:lineRule="auto"/>
        <w:rPr>
          <w:sz w:val="20"/>
          <w:szCs w:val="20"/>
          <w:color w:val="auto"/>
        </w:rPr>
      </w:pPr>
      <w:r>
        <w:rPr>
          <w:rFonts w:ascii="Times New Roman" w:cs="Times New Roman" w:eastAsia="Times New Roman" w:hAnsi="Times New Roman"/>
          <w:sz w:val="19"/>
          <w:szCs w:val="19"/>
          <w:color w:val="auto"/>
        </w:rPr>
        <w:t>Our human capital is integral to helping us achieve our mission of reinventing the treatment of autoimmune disease by tackling it at its root. We have built a culture of high performance based on our core values:</w:t>
      </w:r>
    </w:p>
    <w:p>
      <w:pPr>
        <w:spacing w:after="0" w:line="39" w:lineRule="exact"/>
        <w:rPr>
          <w:sz w:val="20"/>
          <w:szCs w:val="20"/>
          <w:color w:val="auto"/>
        </w:rPr>
      </w:pPr>
    </w:p>
    <w:p>
      <w:pPr>
        <w:ind w:left="980" w:hanging="492"/>
        <w:spacing w:after="0"/>
        <w:tabs>
          <w:tab w:leader="none" w:pos="9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Ambition: </w:t>
      </w:r>
      <w:r>
        <w:rPr>
          <w:rFonts w:ascii="Times New Roman" w:cs="Times New Roman" w:eastAsia="Times New Roman" w:hAnsi="Times New Roman"/>
          <w:sz w:val="20"/>
          <w:szCs w:val="20"/>
          <w:color w:val="auto"/>
        </w:rPr>
        <w:t>Bold, urgent, and relentless in pursuit of our mission to improve patients’ lives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Excellence: </w:t>
      </w:r>
      <w:r>
        <w:rPr>
          <w:rFonts w:ascii="Times New Roman" w:cs="Times New Roman" w:eastAsia="Times New Roman" w:hAnsi="Times New Roman"/>
          <w:sz w:val="20"/>
          <w:szCs w:val="20"/>
          <w:color w:val="auto"/>
        </w:rPr>
        <w:t>Driven by results, committed to quality, and grounded in scientific rigor</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Integrity: </w:t>
      </w:r>
      <w:r>
        <w:rPr>
          <w:rFonts w:ascii="Times New Roman" w:cs="Times New Roman" w:eastAsia="Times New Roman" w:hAnsi="Times New Roman"/>
          <w:sz w:val="20"/>
          <w:szCs w:val="20"/>
          <w:color w:val="auto"/>
        </w:rPr>
        <w:t>Honest, transparent, and guided by strong ethical principles in every decision and action</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Ownership: </w:t>
      </w:r>
      <w:r>
        <w:rPr>
          <w:rFonts w:ascii="Times New Roman" w:cs="Times New Roman" w:eastAsia="Times New Roman" w:hAnsi="Times New Roman"/>
          <w:sz w:val="20"/>
          <w:szCs w:val="20"/>
          <w:color w:val="auto"/>
        </w:rPr>
        <w:t>Accountable, proactive, and disciplined stewards of resources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Unity: </w:t>
      </w:r>
      <w:r>
        <w:rPr>
          <w:rFonts w:ascii="Times New Roman" w:cs="Times New Roman" w:eastAsia="Times New Roman" w:hAnsi="Times New Roman"/>
          <w:sz w:val="20"/>
          <w:szCs w:val="20"/>
          <w:color w:val="auto"/>
        </w:rPr>
        <w:t>Collaborative, inclusive, and united as one team</w:t>
      </w:r>
    </w:p>
    <w:p>
      <w:pPr>
        <w:spacing w:after="0" w:line="225"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Our human capital objectives include, as applicable, identifying, recruiting, retaining, incentivizing and integrating our existing and new talent. The principal purposes of our equity incentive plans are to attract, retain and motivate selected employees, consultants and directors through the granting of stock-based compensation awards.</w:t>
      </w:r>
    </w:p>
    <w:p>
      <w:pPr>
        <w:spacing w:after="0" w:line="187"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19"/>
          <w:szCs w:val="19"/>
          <w:color w:val="auto"/>
        </w:rPr>
        <w:t>As of March 3, 2026, we had 76 full-time employees, 19 of whom held an M.D. or Ph.D. degree and 30 of whom are engaged in research and development activities. None of our employees are represented by a labor union or covered by a collective bargaining agreement. We consider our relationship with our employees to be good.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3"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on December 30, 2015. Our principal executive offices are located at 500 Boylston Street, Suite 1350, Boston, Massachusetts 02116 and our telephone number is 617-655-6580.</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We maintain an internet website at www.vorbio.com and make available free of charge through our website our Annual Reports on Form 10-K, Quarterly Reports on Form 10-Q, Current Reports on Form 8-K and amendments to those reports filed or furnished pursuant to Sections 13(a) and 15(d) of the Securities Exchange Act of 1934, as amended (the “Exchange Act”). We make these reports available through our website as soon as reasonably practicable after we electronically file such reports with, or furnish such reports to, the SEC.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sectPr>
      </w:pPr>
    </w:p>
    <w:bookmarkStart w:id="30" w:name="page31"/>
    <w:bookmarkEnd w:id="30"/>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The information on our website is not incorporated by reference into this Annual Report and should not be considered to be a part of this Annual Report. Our website address is included in this Annual Report as an inactive technical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0" w:right="1440" w:bottom="175" w:gutter="0" w:footer="0" w:header="0"/>
        </w:sectPr>
      </w:pPr>
    </w:p>
    <w:bookmarkStart w:id="31" w:name="page32"/>
    <w:bookmarkEnd w:id="3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The following risk factors and other information included in this Annual Report on Form 10-K (“Annual Report”), including our financial statements and related notes thereto,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the discussion regarding some of the forward -looking statements that are qualified by these risk factors contained elsewhere in this Annual Report. If any of the following risks occur, our business, financial condition, results of operations and future growth prospects could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12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since inception. We expect to incur net losses for the foreseeable future and may never achieve or maintain profitability.</w:t>
      </w:r>
    </w:p>
    <w:p>
      <w:pPr>
        <w:spacing w:after="0" w:line="47" w:lineRule="exact"/>
        <w:rPr>
          <w:sz w:val="20"/>
          <w:szCs w:val="20"/>
          <w:color w:val="auto"/>
        </w:rPr>
      </w:pPr>
    </w:p>
    <w:p>
      <w:pPr>
        <w:ind w:right="40" w:firstLine="612"/>
        <w:spacing w:after="0" w:line="259" w:lineRule="auto"/>
        <w:rPr>
          <w:sz w:val="20"/>
          <w:szCs w:val="20"/>
          <w:color w:val="auto"/>
        </w:rPr>
      </w:pPr>
      <w:r>
        <w:rPr>
          <w:rFonts w:ascii="Times New Roman" w:cs="Times New Roman" w:eastAsia="Times New Roman" w:hAnsi="Times New Roman"/>
          <w:sz w:val="19"/>
          <w:szCs w:val="19"/>
          <w:color w:val="auto"/>
        </w:rPr>
        <w:t>Since inception, we have not generated any revenue and have incurred significant operating losses. For the year ended December 31, 2025 and 2024 our net loss was $696.0 million and $116.9 million, respectively. As of December 31, 2025, we had an accumulated deficit of $1,153.0 million. We have financed our operations primarily through the sale of our capital stock, including the sale of warrants to purchase our common stock. We have devoted all of our efforts to organizing and staffing our company, business and scientific planning, raising capital, acquiring and developing technology, identifying potential product candidates, undertaking studies of potential product candidates and evaluating a clinical path for our pipeline programs.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82" w:lineRule="exact"/>
        <w:rPr>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advance and complete clinical trials of telitacicept in gMG and SjD;</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clinical development of telitacicept in additional indications;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additional research programs and development of other potential product candidates;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initiate preclinical testing and clinical trials for any other product candidates we identify and develop;</w:t>
      </w:r>
    </w:p>
    <w:p>
      <w:pPr>
        <w:spacing w:after="0" w:line="119" w:lineRule="exact"/>
        <w:rPr>
          <w:rFonts w:ascii="Symbol" w:cs="Symbol" w:eastAsia="Symbol" w:hAnsi="Symbol"/>
          <w:sz w:val="20"/>
          <w:szCs w:val="20"/>
          <w:color w:val="auto"/>
        </w:rPr>
      </w:pPr>
    </w:p>
    <w:p>
      <w:pPr>
        <w:ind w:left="980" w:right="980" w:hanging="492"/>
        <w:spacing w:after="0" w:line="262" w:lineRule="auto"/>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expand, enforce, defend and protect our intellectual property portfolio and provide reimbursement of third-party expenses related to our patent portfolio;</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adapt our regulatory compliance efforts to incorporate requirements applicable to marketed products;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hire additional research and development and clinical personnel;</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hire commercial personnel and advance market access and reimbursement strategies;</w:t>
      </w:r>
    </w:p>
    <w:p>
      <w:pPr>
        <w:spacing w:after="0" w:line="119" w:lineRule="exact"/>
        <w:rPr>
          <w:rFonts w:ascii="Symbol" w:cs="Symbol" w:eastAsia="Symbol" w:hAnsi="Symbol"/>
          <w:sz w:val="20"/>
          <w:szCs w:val="20"/>
          <w:color w:val="auto"/>
        </w:rPr>
      </w:pPr>
    </w:p>
    <w:p>
      <w:pPr>
        <w:ind w:left="980" w:right="200" w:hanging="492"/>
        <w:spacing w:after="0" w:line="261" w:lineRule="auto"/>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acquire or in-license product candidates, intellectual property and technologies;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 or in-license manufacturing and distribution technologies;</w:t>
      </w:r>
    </w:p>
    <w:p>
      <w:pPr>
        <w:spacing w:after="0" w:line="118" w:lineRule="exact"/>
        <w:rPr>
          <w:rFonts w:ascii="Symbol" w:cs="Symbol" w:eastAsia="Symbol" w:hAnsi="Symbol"/>
          <w:sz w:val="20"/>
          <w:szCs w:val="20"/>
          <w:color w:val="auto"/>
        </w:rPr>
      </w:pPr>
    </w:p>
    <w:p>
      <w:pPr>
        <w:ind w:left="980" w:right="740" w:hanging="492"/>
        <w:spacing w:after="0" w:line="262" w:lineRule="auto"/>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rely on collaborators or other third parties to manufacture current good manufacturing practices (“cGMP”) material for clinical trials or potential commercial sales;</w:t>
      </w:r>
    </w:p>
    <w:p>
      <w:pPr>
        <w:spacing w:after="0" w:line="76" w:lineRule="exact"/>
        <w:rPr>
          <w:rFonts w:ascii="Symbol" w:cs="Symbol" w:eastAsia="Symbol" w:hAnsi="Symbol"/>
          <w:sz w:val="20"/>
          <w:szCs w:val="20"/>
          <w:color w:val="auto"/>
        </w:rPr>
      </w:pPr>
    </w:p>
    <w:p>
      <w:pPr>
        <w:ind w:left="980" w:right="260" w:hanging="492"/>
        <w:spacing w:after="0" w:line="250" w:lineRule="auto"/>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commercialization infrastructure and develop internal and external manufacturing and distribution capabilities to commercialize any product candidates for which we may obtain regulatory approval;</w:t>
      </w:r>
    </w:p>
    <w:p>
      <w:pPr>
        <w:spacing w:after="0" w:line="88" w:lineRule="exact"/>
        <w:rPr>
          <w:rFonts w:ascii="Symbol" w:cs="Symbol" w:eastAsia="Symbol" w:hAnsi="Symbol"/>
          <w:sz w:val="20"/>
          <w:szCs w:val="20"/>
          <w:color w:val="auto"/>
        </w:rPr>
      </w:pPr>
    </w:p>
    <w:p>
      <w:pPr>
        <w:ind w:left="980" w:right="20" w:hanging="492"/>
        <w:spacing w:after="0" w:line="251" w:lineRule="auto"/>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should we decide to do so and receive approval for any of our product candidates, build and maintain, or purchase and validate, commercial-scale manufacturing facilities designed to comply with cGMP requirements; and</w:t>
      </w:r>
    </w:p>
    <w:p>
      <w:pPr>
        <w:spacing w:after="0" w:line="87" w:lineRule="exact"/>
        <w:rPr>
          <w:rFonts w:ascii="Symbol" w:cs="Symbol" w:eastAsia="Symbol" w:hAnsi="Symbol"/>
          <w:sz w:val="20"/>
          <w:szCs w:val="20"/>
          <w:color w:val="auto"/>
        </w:rPr>
      </w:pPr>
    </w:p>
    <w:p>
      <w:pPr>
        <w:ind w:left="980" w:hanging="492"/>
        <w:spacing w:after="0"/>
        <w:tabs>
          <w:tab w:leader="none" w:pos="98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operate as a public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40" w:right="1440" w:bottom="175" w:gutter="0" w:footer="0" w:header="0"/>
        </w:sectPr>
      </w:pPr>
    </w:p>
    <w:bookmarkStart w:id="32" w:name="page33"/>
    <w:bookmarkEnd w:id="32"/>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We have not completed clinical development of any product candidate and expect that it will be years, if ever, before we have a product candidate ready for commercialization. To become and remain profitable, we must develop and, either directly or through collaborators, eventually commercialize a product or products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products for which we may obtain marketing approval and satisfying any post-marketing requirements. We may never succeed in these activities and, even if we do, may never generate revenues that are significant or large enough to achieve profitability. Our product candidate and research programs are currently in clinical development. Because of the numerous risks and uncertainties associated with developing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stockholders to lose all or part of their investments in us.</w:t>
      </w:r>
    </w:p>
    <w:p>
      <w:pPr>
        <w:spacing w:after="0" w:line="20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16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expect our expenses to increase in connection with our ongoing activities, particularly as we continue the clinical development of telitacicept for the treatment of gMG and SjD and initiate clinical development of telitacicept in additional indications, and otherwise continue to advance our research programs in support of our pipeline. In addition, if we obtain marketing approval for any of our product candidates, we expect to incur significant commercialization expenses related to product sales, marketing, manufacturing and distribution to the extent that such sales, marketing, manufacturing and distribution are not the responsibility of a collaborator. Further, we expect to continue to incur significant additional costs associated with operating as a public company this year and in future years. Accordingly, we will need to obtain substantial additional funding in order to maintain our continuing operations. If we are unable to raise capital when needed or on attractive terms, we would be forced to delay, reduce or eliminate our research and product development programs or future commercialization efforts.</w:t>
      </w:r>
    </w:p>
    <w:p>
      <w:pPr>
        <w:spacing w:after="0" w:line="20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2025, our cash, cash equivalents and marketable securities were $455.2 million. We expect that our existing cash, cash equivalents and marketable securities as of December 31, 2025, together with the expected proceeds from our 2026 Private Placement, will enable us to fund our operating expenses and capital expenditure requirements into early 2029. However, our operating plan may change as a result of factors currently unknown to us, and we may need to seek funding sooner than planned. Our future capital requirements will depend on many factors, including:</w:t>
      </w:r>
    </w:p>
    <w:p>
      <w:pPr>
        <w:spacing w:after="0" w:line="94" w:lineRule="exact"/>
        <w:rPr>
          <w:sz w:val="20"/>
          <w:szCs w:val="20"/>
          <w:color w:val="auto"/>
        </w:rPr>
      </w:pPr>
    </w:p>
    <w:p>
      <w:pPr>
        <w:ind w:left="980" w:hanging="492"/>
        <w:spacing w:after="0"/>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progress, results and costs of clinical trials for telitacicept;</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researching, developing, and initiating clinical trials of telitacicept in additional indications;</w:t>
      </w:r>
    </w:p>
    <w:p>
      <w:pPr>
        <w:spacing w:after="0" w:line="119" w:lineRule="exact"/>
        <w:rPr>
          <w:rFonts w:ascii="Symbol" w:cs="Symbol" w:eastAsia="Symbol" w:hAnsi="Symbol"/>
          <w:sz w:val="20"/>
          <w:szCs w:val="20"/>
          <w:color w:val="auto"/>
        </w:rPr>
      </w:pPr>
    </w:p>
    <w:p>
      <w:pPr>
        <w:ind w:left="980" w:right="420" w:hanging="492"/>
        <w:spacing w:after="0" w:line="262" w:lineRule="auto"/>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costs of discovery, acquisition or in-licensing, preclinical development, formulation, development and clinical trials for other product candidates;</w:t>
      </w:r>
    </w:p>
    <w:p>
      <w:pPr>
        <w:spacing w:after="0" w:line="75" w:lineRule="exact"/>
        <w:rPr>
          <w:rFonts w:ascii="Symbol" w:cs="Symbol" w:eastAsia="Symbol" w:hAnsi="Symbol"/>
          <w:sz w:val="20"/>
          <w:szCs w:val="20"/>
          <w:color w:val="auto"/>
        </w:rPr>
      </w:pPr>
    </w:p>
    <w:p>
      <w:pPr>
        <w:ind w:left="980" w:hanging="492"/>
        <w:spacing w:after="0" w:line="262" w:lineRule="auto"/>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acquiring and expanding facilities to accommodate corporate, laboratory, and manufacturing needs;</w:t>
      </w:r>
    </w:p>
    <w:p>
      <w:pPr>
        <w:spacing w:after="0" w:line="75" w:lineRule="exact"/>
        <w:rPr>
          <w:rFonts w:ascii="Symbol" w:cs="Symbol" w:eastAsia="Symbol" w:hAnsi="Symbol"/>
          <w:sz w:val="20"/>
          <w:szCs w:val="20"/>
          <w:color w:val="auto"/>
        </w:rPr>
      </w:pPr>
    </w:p>
    <w:p>
      <w:pPr>
        <w:ind w:left="980" w:right="440" w:hanging="492"/>
        <w:spacing w:after="0" w:line="251" w:lineRule="auto"/>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and proprietary rights and defending intellectual property-related claims in the United States and internationally;</w:t>
      </w:r>
    </w:p>
    <w:p>
      <w:pPr>
        <w:spacing w:after="0" w:line="87" w:lineRule="exact"/>
        <w:rPr>
          <w:rFonts w:ascii="Symbol" w:cs="Symbol" w:eastAsia="Symbol" w:hAnsi="Symbol"/>
          <w:sz w:val="20"/>
          <w:szCs w:val="20"/>
          <w:color w:val="auto"/>
        </w:rPr>
      </w:pPr>
    </w:p>
    <w:p>
      <w:pPr>
        <w:ind w:left="980" w:hanging="492"/>
        <w:spacing w:after="0"/>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 of regulatory review of any product candidates;</w:t>
      </w:r>
    </w:p>
    <w:p>
      <w:pPr>
        <w:spacing w:after="0" w:line="119" w:lineRule="exact"/>
        <w:rPr>
          <w:rFonts w:ascii="Symbol" w:cs="Symbol" w:eastAsia="Symbol" w:hAnsi="Symbol"/>
          <w:sz w:val="20"/>
          <w:szCs w:val="20"/>
          <w:color w:val="auto"/>
        </w:rPr>
      </w:pPr>
    </w:p>
    <w:p>
      <w:pPr>
        <w:ind w:left="980" w:right="260" w:hanging="492"/>
        <w:spacing w:after="0" w:line="250" w:lineRule="auto"/>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future activities, including product sales, medical affairs, marketing, manufacturing, distribution, coverage and reimbursement for any product candidates for which we receive regulatory approval;</w:t>
      </w:r>
    </w:p>
    <w:p>
      <w:pPr>
        <w:spacing w:after="0" w:line="90" w:lineRule="exact"/>
        <w:rPr>
          <w:rFonts w:ascii="Symbol" w:cs="Symbol" w:eastAsia="Symbol" w:hAnsi="Symbol"/>
          <w:sz w:val="20"/>
          <w:szCs w:val="20"/>
          <w:color w:val="auto"/>
        </w:rPr>
      </w:pPr>
    </w:p>
    <w:p>
      <w:pPr>
        <w:ind w:left="980" w:hanging="492"/>
        <w:spacing w:after="0"/>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establish and maintain collaborations on favorable terms, if at all;</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our collaborations, including ones we may establish, and of our license agreements;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0" w:right="1440" w:bottom="175" w:gutter="0" w:footer="0" w:header="0"/>
        </w:sectPr>
      </w:pPr>
    </w:p>
    <w:bookmarkStart w:id="33" w:name="page34"/>
    <w:bookmarkEnd w:id="33"/>
    <w:p>
      <w:pPr>
        <w:ind w:left="980" w:right="380" w:hanging="492"/>
        <w:spacing w:after="0" w:line="261" w:lineRule="auto"/>
        <w:tabs>
          <w:tab w:leader="none" w:pos="98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achievement of milestones or occurrence of other developments that trigger payments under any collaboration agreements we enter;</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acquire or in-license product candidates, intellectual property and technologies;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develop or in-license manufacturing and distribution technologies; and</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225"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will be derived from sales of products that we do not expect to be commercially available for years, if at all. Accordingly, we will need to continue to rely on additional financing to achieve our business objectives.</w:t>
      </w:r>
    </w:p>
    <w:p>
      <w:pPr>
        <w:spacing w:after="0" w:line="20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Any additional fundraising efforts may divert our management from their day-to-day activities, which may adversely affect our ability to develop and commercialize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201"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190"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16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revenues, we expect to finance our cash needs through a combination of equity offerings, government or private party grants, debt financings, collaborations, strategic alliances and licensing arrangements. We do not currently have any committed external source of funds. To the extent that we raise additional capital through the sale of equity or convertible debt securities, including through the use of our at-the-market facility, our stockholders’ ownership interest will be diluted, and the terms of these securities may include liquidation or other preferences that adversely affect rights of our common stockholders. Debt financing and preferred equity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20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For example, we have raised substantial amounts of capital through the issuance and sale of 11,500,000 shares of common stock in the November 2025 Offering (as defined below), the issuance and sale of 13,876,032 shares of common stock in the December 2025 Private Placement (as defined below), the 2026 Private Placement and sales made pursuant to our at-the-market facility. In addition, in December 2024, we issued and sold to certain institutional investors an aggregate of (i) 2,793,562 shares of common stock and (ii) warrants to purchase up to 3,491,953 shares of common stock (the “2024 Warrants”). In June 2025, we issued and sold to certain institutional investors warrants to purchase up to 34,999,999 shares of common stock (the “2025 PIPE Warrants”), and we also issued a warrant to purchase up to 16,000,000 shares of common stock (the “RemeGen Warrant”) as partial consideration for the Telitacicept License Agreement to a subsidiary of RemeGen. As of December 31, 2025, the 2024 Warrants and RemeGen Warrant remained outstanding and unexercised, and 29,920,359 of the 2025 PIPE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35" w:right="1440" w:bottom="175" w:gutter="0" w:footer="0" w:header="0"/>
        </w:sectPr>
      </w:pPr>
    </w:p>
    <w:bookmarkStart w:id="34" w:name="page35"/>
    <w:bookmarkEnd w:id="34"/>
    <w:p>
      <w:pPr>
        <w:ind w:right="20"/>
        <w:spacing w:after="0" w:line="247" w:lineRule="auto"/>
        <w:rPr>
          <w:sz w:val="20"/>
          <w:szCs w:val="20"/>
          <w:color w:val="auto"/>
        </w:rPr>
      </w:pPr>
      <w:r>
        <w:rPr>
          <w:rFonts w:ascii="Times New Roman" w:cs="Times New Roman" w:eastAsia="Times New Roman" w:hAnsi="Times New Roman"/>
          <w:sz w:val="20"/>
          <w:szCs w:val="20"/>
          <w:color w:val="auto"/>
        </w:rPr>
        <w:t>Warrants remain outstanding and unexercised. In addition, as of December 31, 2025, we have outstanding options to purchase 6,608,266 shares of common stock and 186,325 restricted stock units, and we have 2,539,361 shares of common stock available for future issuance under our 2023 Inducement Plan, 433,804 shares of common stock available for future issuance under our Amended and Restated 2021 Equity Incentive Plan and 115,932 shares of common stock available for issuance under our Employee Stock Purchase Plan. Should all of these shares be issued, you would experience substantial dilution in ownership of our common stock.</w:t>
      </w:r>
    </w:p>
    <w:p>
      <w:pPr>
        <w:spacing w:after="0" w:line="20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If we raise funds through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or commit to providing us with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Market volatility may further adversely impact our ability to access capital as and when needed.</w:t>
      </w:r>
    </w:p>
    <w:p>
      <w:pPr>
        <w:spacing w:after="0" w:line="191"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have not yet completed any clinical trials and have no history of commercializing products, which may make it difficult to evaluate the success of our business to date and to assess our future viability.</w:t>
      </w:r>
    </w:p>
    <w:p>
      <w:pPr>
        <w:spacing w:after="0" w:line="185"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We are a clinical-stage company with no products approved for marketing. We were founded in December 2015 and commenced operations in February 2016. Our operations to date have been limited to organizing and staffing our company, business planning, raising capital, acquiring and developing our platform and technology, identifying product candidates and undertaking studies. Prior to our in-license of telitacicept in June 2025, our efforts were focused on developing engineered hematopoietic stem cell transplants, chimeric antigen receptor-T cell therapies and antibody drug conjugates for the treatment of acute myeloid leukemia. We are currently developing telitacicept in a global Phase 3 clinical trials for the treatment of gMG and SjD. The risk of failure for these activities is high. We have not yet demonstrated an ability to successfully complete any clinical trials, including large-scale, pivotal clinical trials, obtain marketing approvals, manufacture a commercial-scale product or arrange for a third party to do so on our behalf or conduct sales and marketing activities necessary for successful commercialization. Consequently, any predictions made about our future success or viability may not be as accurate as they could be if we had a longer operating history.</w:t>
      </w:r>
    </w:p>
    <w:p>
      <w:pPr>
        <w:spacing w:after="0" w:line="20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Our limited operating history may make it difficult to evaluate our technology and industry and predict our future performance. Our short history as an operating company makes any assessment of our future success or viability subject to significant uncertainty. We expect to encounter risks and difficulties frequently experienced by early stage companies in new and rapidly evolving fields. If we do not address these risks and difficulties successfully, our business could suffer.</w:t>
      </w:r>
    </w:p>
    <w:p>
      <w:pPr>
        <w:spacing w:after="0" w:line="197"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In addition,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never generated revenue from product sales and may never become profitable.</w:t>
      </w:r>
    </w:p>
    <w:p>
      <w:pPr>
        <w:spacing w:after="0" w:line="24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Our ability to generate revenue from product sales and achieve profitability depends on our ability, alone or with collaborators, to successfully complete the development of, and obtain the regulatory approvals necessary to commercialize, product candidates. We do not anticipate generating revenues from product sales for the next several years, if ever. Our ability to generate future revenue from product sales depends heavily on our, or our current or future collaborators’, ability to successfully:</w:t>
      </w:r>
    </w:p>
    <w:p>
      <w:pPr>
        <w:spacing w:after="0" w:line="91" w:lineRule="exact"/>
        <w:rPr>
          <w:sz w:val="20"/>
          <w:szCs w:val="20"/>
          <w:color w:val="auto"/>
        </w:rPr>
      </w:pPr>
    </w:p>
    <w:p>
      <w:pPr>
        <w:ind w:left="980" w:hanging="492"/>
        <w:spacing w:after="0"/>
        <w:tabs>
          <w:tab w:leader="none" w:pos="98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advance and complete clinical trials of our product candidates, including telitacicept;</w:t>
      </w:r>
    </w:p>
    <w:p>
      <w:pPr>
        <w:spacing w:after="0" w:line="118" w:lineRule="exact"/>
        <w:rPr>
          <w:rFonts w:ascii="Symbol" w:cs="Symbol" w:eastAsia="Symbol" w:hAnsi="Symbol"/>
          <w:sz w:val="20"/>
          <w:szCs w:val="20"/>
          <w:color w:val="auto"/>
        </w:rPr>
      </w:pPr>
    </w:p>
    <w:p>
      <w:pPr>
        <w:ind w:left="980" w:right="380" w:hanging="492"/>
        <w:spacing w:after="0" w:line="262" w:lineRule="auto"/>
        <w:tabs>
          <w:tab w:leader="none" w:pos="98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complete research and preclinical and clinical development of any other product candidates we may identify;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20" w:right="1440" w:bottom="175" w:gutter="0" w:footer="0" w:header="0"/>
        </w:sectPr>
      </w:pPr>
    </w:p>
    <w:bookmarkStart w:id="35" w:name="page36"/>
    <w:bookmarkEnd w:id="35"/>
    <w:p>
      <w:pPr>
        <w:ind w:left="980" w:right="180" w:hanging="492"/>
        <w:spacing w:after="0" w:line="261"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seek and obtain regulatory and marketing approvals for any product candidates for which we complete clinical trials;</w:t>
      </w:r>
    </w:p>
    <w:p>
      <w:pPr>
        <w:spacing w:after="0" w:line="77" w:lineRule="exact"/>
        <w:rPr>
          <w:rFonts w:ascii="Symbol" w:cs="Symbol" w:eastAsia="Symbol" w:hAnsi="Symbol"/>
          <w:sz w:val="20"/>
          <w:szCs w:val="20"/>
          <w:color w:val="auto"/>
        </w:rPr>
      </w:pPr>
    </w:p>
    <w:p>
      <w:pPr>
        <w:jc w:val="both"/>
        <w:ind w:left="980" w:right="660" w:hanging="492"/>
        <w:spacing w:after="0" w:line="250"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launch and commercialize any product candidates for which we obtain regulatory and marketing approval by establishing a sales force, marketing and distribution infrastructure or, alternatively, collaborating with a commercialization partner;</w:t>
      </w:r>
    </w:p>
    <w:p>
      <w:pPr>
        <w:spacing w:after="0" w:line="90" w:lineRule="exact"/>
        <w:rPr>
          <w:rFonts w:ascii="Symbol" w:cs="Symbol" w:eastAsia="Symbol" w:hAnsi="Symbol"/>
          <w:sz w:val="20"/>
          <w:szCs w:val="20"/>
          <w:color w:val="auto"/>
        </w:rPr>
      </w:pPr>
    </w:p>
    <w:p>
      <w:pPr>
        <w:ind w:left="980" w:right="40" w:hanging="492"/>
        <w:spacing w:after="0" w:line="261"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qualify for coverage and adequate reimbursement by government and third-party payors for any product candidates for which we obtain regulatory and marketing approval;</w:t>
      </w:r>
    </w:p>
    <w:p>
      <w:pPr>
        <w:spacing w:after="0" w:line="77" w:lineRule="exact"/>
        <w:rPr>
          <w:rFonts w:ascii="Symbol" w:cs="Symbol" w:eastAsia="Symbol" w:hAnsi="Symbol"/>
          <w:sz w:val="20"/>
          <w:szCs w:val="20"/>
          <w:color w:val="auto"/>
        </w:rPr>
      </w:pPr>
    </w:p>
    <w:p>
      <w:pPr>
        <w:ind w:left="980" w:right="380" w:hanging="492"/>
        <w:spacing w:after="0" w:line="250"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90" w:lineRule="exact"/>
        <w:rPr>
          <w:rFonts w:ascii="Symbol" w:cs="Symbol" w:eastAsia="Symbol" w:hAnsi="Symbol"/>
          <w:sz w:val="20"/>
          <w:szCs w:val="20"/>
          <w:color w:val="auto"/>
        </w:rPr>
      </w:pPr>
    </w:p>
    <w:p>
      <w:pPr>
        <w:ind w:left="980" w:hanging="492"/>
        <w:spacing w:after="0"/>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market acceptance of product candidates as viable treatment options;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address competing technological and market developments;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implement internal systems and infrastructure, as needed;</w:t>
      </w:r>
    </w:p>
    <w:p>
      <w:pPr>
        <w:spacing w:after="0" w:line="119" w:lineRule="exact"/>
        <w:rPr>
          <w:rFonts w:ascii="Symbol" w:cs="Symbol" w:eastAsia="Symbol" w:hAnsi="Symbol"/>
          <w:sz w:val="20"/>
          <w:szCs w:val="20"/>
          <w:color w:val="auto"/>
        </w:rPr>
      </w:pPr>
    </w:p>
    <w:p>
      <w:pPr>
        <w:ind w:left="980" w:right="40" w:hanging="492"/>
        <w:spacing w:after="0" w:line="261"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negotiate favorable terms in any collaboration, licensing or other arrangements into which we may enter and perform our obligations in such arrangements;</w:t>
      </w:r>
    </w:p>
    <w:p>
      <w:pPr>
        <w:spacing w:after="0" w:line="77" w:lineRule="exact"/>
        <w:rPr>
          <w:rFonts w:ascii="Symbol" w:cs="Symbol" w:eastAsia="Symbol" w:hAnsi="Symbol"/>
          <w:sz w:val="20"/>
          <w:szCs w:val="20"/>
          <w:color w:val="auto"/>
        </w:rPr>
      </w:pPr>
    </w:p>
    <w:p>
      <w:pPr>
        <w:ind w:left="980" w:right="400" w:hanging="492"/>
        <w:spacing w:after="0" w:line="262"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protect, enforce, defend and expand our portfolio of intellectual property rights, including patents, trade secrets and know-how, in the United States and internationally;</w:t>
      </w:r>
    </w:p>
    <w:p>
      <w:pPr>
        <w:spacing w:after="0" w:line="75" w:lineRule="exact"/>
        <w:rPr>
          <w:rFonts w:ascii="Symbol" w:cs="Symbol" w:eastAsia="Symbol" w:hAnsi="Symbol"/>
          <w:sz w:val="20"/>
          <w:szCs w:val="20"/>
          <w:color w:val="auto"/>
        </w:rPr>
      </w:pPr>
    </w:p>
    <w:p>
      <w:pPr>
        <w:ind w:left="980" w:right="100" w:hanging="492"/>
        <w:spacing w:after="0" w:line="262" w:lineRule="auto"/>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avoid and defend against third-party interference, infringement and other intellectual property claims in the United States and internationally; and</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2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Even if one or more of the product candidates we develop are approved for commercial sale, we anticipate incurring significant costs associated with commercializing any approved product candidate. Our expenses could increase beyond expectations if we are required by the U.S. Food and Drug Administration (the “FDA”), the European Medicines Agency (the “EMA”) or other regulatory authorities to perform clinical and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00"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 in us.</w:t>
      </w:r>
    </w:p>
    <w:p>
      <w:pPr>
        <w:spacing w:after="0" w:line="18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to offset taxable income or taxes may be limited.</w:t>
      </w:r>
    </w:p>
    <w:p>
      <w:pPr>
        <w:spacing w:after="0" w:line="16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As of December 31, 2025, we had gross federal net operating loss carryforwards of $411.7 million including $409.8 million that had an indefinite carryforward period and $1.9 million that were subject to expiration at various dates through 2037. Furthermore, we have state and local net operating loss carryforwards of $389.4 million which will expire at various dates through 2045. Portions of these net operating loss carryforwards could expire unused and be unavailable to offset future income tax liabilities. Under the legislation enacted in 2017, informally titled the Tax Cuts and Jobs Act (the “Tax Act”), as modified by the Coronavirus Aid, Relief, and Economic Security (the “CARES Act”) U.S. federal net operating losses incurred in taxable years beginning after December 31, 2017, may be carried forward indefinitely, but the deductibility of such federal net operating losses in taxable years beginning after December 31, 2020, may be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In addition, under Sections 382 and 383 of the Internal Revenue Code of 1986, as amended (the “Code”), and corresponding provisions of state law, if a corporation undergoes an “ownership change,” which is generally defined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35" w:right="1440" w:bottom="175" w:gutter="0" w:footer="0" w:header="0"/>
        </w:sectPr>
      </w:pPr>
    </w:p>
    <w:bookmarkStart w:id="36" w:name="page37"/>
    <w:bookmarkEnd w:id="36"/>
    <w:p>
      <w:pPr>
        <w:ind w:right="20"/>
        <w:spacing w:after="0" w:line="244" w:lineRule="auto"/>
        <w:rPr>
          <w:sz w:val="20"/>
          <w:szCs w:val="20"/>
          <w:color w:val="auto"/>
        </w:rPr>
      </w:pPr>
      <w:r>
        <w:rPr>
          <w:rFonts w:ascii="Times New Roman" w:cs="Times New Roman" w:eastAsia="Times New Roman" w:hAnsi="Times New Roman"/>
          <w:sz w:val="20"/>
          <w:szCs w:val="20"/>
          <w:color w:val="auto"/>
        </w:rPr>
        <w:t>as a greater than 50% change, by value, in its equity ownership over a three-year period, the corporation’s ability to use its pre-change net operating loss carryforwards and other pre-change tax attributes to offset its post-change income or taxes may be limited. The completion of our initial public offering, together with private placements and other transactions that have occurred since our inception, may trigger such an ownership change pursuant to Section 382 of the Code. We have not yet completed a Section 382 analysis, and therefore, there can be no assurances that our net operating losses are not already limited. We may experience ownership changes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 There is a full valuation allowance for net deferred tax assets, including net operating loss carryforwards.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Development, Manufacturing and Commercialization</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our lead product candidate, telitacicept. If we are unable to complete development of, obtain approval for and commercialize telitacicept in a timely manner, our business will be harmed.</w:t>
      </w:r>
    </w:p>
    <w:p>
      <w:pPr>
        <w:spacing w:after="0" w:line="18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Our future success is dependent on our ability to timely advance and complete clinical trials, obtain marketing approval for and successfully commercialize our lead product candidate, telitacicept. We are investing significant efforts and financial resources in the research and development of telitacicept. Telitacicept is currently in global Phase 3 clinical trials for the treatment of gMG and SjD, and will require additional clinical development, evaluation of clinical and manufacturing activities, marketing approval from government regulators, substantial investment and significant marketing efforts before we can generate any revenues from product sales. We are not permitted to market or promote telitacicept or any other product candidate before we receive marketing approval from the FDA and comparable foreign regulatory authorities, and we may never receive such marketing approvals.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success of telitacicept will depend on several factors, including the following:</w:t>
      </w:r>
    </w:p>
    <w:p>
      <w:pPr>
        <w:spacing w:after="0" w:line="135" w:lineRule="exact"/>
        <w:rPr>
          <w:sz w:val="20"/>
          <w:szCs w:val="20"/>
          <w:color w:val="auto"/>
        </w:rPr>
      </w:pPr>
    </w:p>
    <w:p>
      <w:pPr>
        <w:ind w:left="980" w:right="540" w:hanging="492"/>
        <w:spacing w:after="0" w:line="262"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approval or acceptance to initiate clinical trials by the applicable regulatory authorities in each country where we plan to conduct clinical trials;</w:t>
      </w:r>
    </w:p>
    <w:p>
      <w:pPr>
        <w:spacing w:after="0" w:line="75" w:lineRule="exact"/>
        <w:rPr>
          <w:rFonts w:ascii="Symbol" w:cs="Symbol" w:eastAsia="Symbol" w:hAnsi="Symbol"/>
          <w:sz w:val="20"/>
          <w:szCs w:val="20"/>
          <w:color w:val="auto"/>
        </w:rPr>
      </w:pPr>
    </w:p>
    <w:p>
      <w:pPr>
        <w:ind w:left="980" w:right="80" w:hanging="492"/>
        <w:spacing w:after="0" w:line="247"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acceptance of individual investigational review boards (“IRBs”) and scientific review committees at each clinical trial site as to the adequacy of the preclinical data package to support clinical development of telitacicept and their overall general agreement with the use of telitacicept in the intended patient population in the intended manner;</w:t>
      </w:r>
    </w:p>
    <w:p>
      <w:pPr>
        <w:spacing w:after="0" w:line="92" w:lineRule="exact"/>
        <w:rPr>
          <w:rFonts w:ascii="Symbol" w:cs="Symbol" w:eastAsia="Symbol" w:hAnsi="Symbol"/>
          <w:sz w:val="20"/>
          <w:szCs w:val="20"/>
          <w:color w:val="auto"/>
        </w:rPr>
      </w:pPr>
    </w:p>
    <w:p>
      <w:pPr>
        <w:ind w:left="980" w:right="80" w:hanging="492"/>
        <w:spacing w:after="0" w:line="261"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willingness of clinical investigators to place patients in clinical trials, and the willingness of patients to enroll in clinical trials;</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27"/>
        </w:numPr>
        <w:rPr>
          <w:rFonts w:ascii="Symbol" w:cs="Symbol" w:eastAsia="Symbol" w:hAnsi="Symbol"/>
          <w:sz w:val="19"/>
          <w:szCs w:val="19"/>
          <w:color w:val="auto"/>
        </w:rPr>
      </w:pPr>
      <w:r>
        <w:rPr>
          <w:rFonts w:ascii="Times New Roman" w:cs="Times New Roman" w:eastAsia="Times New Roman" w:hAnsi="Times New Roman"/>
          <w:sz w:val="19"/>
          <w:szCs w:val="19"/>
          <w:color w:val="auto"/>
        </w:rPr>
        <w:t>the successful and timely completion of the global Phase 3 clinical trials of telitacicept in gMG and SjD;</w:t>
      </w:r>
    </w:p>
    <w:p>
      <w:pPr>
        <w:spacing w:after="0" w:line="132" w:lineRule="exact"/>
        <w:rPr>
          <w:rFonts w:ascii="Symbol" w:cs="Symbol" w:eastAsia="Symbol" w:hAnsi="Symbol"/>
          <w:sz w:val="19"/>
          <w:szCs w:val="19"/>
          <w:color w:val="auto"/>
        </w:rPr>
      </w:pPr>
    </w:p>
    <w:p>
      <w:pPr>
        <w:ind w:left="980" w:right="60" w:hanging="492"/>
        <w:spacing w:after="0" w:line="261"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initiation and successful patient enrollment and completion of additional clinical trials of telitacicept on a timely basis;</w:t>
      </w:r>
    </w:p>
    <w:p>
      <w:pPr>
        <w:spacing w:after="0" w:line="77" w:lineRule="exact"/>
        <w:rPr>
          <w:rFonts w:ascii="Symbol" w:cs="Symbol" w:eastAsia="Symbol" w:hAnsi="Symbol"/>
          <w:sz w:val="20"/>
          <w:szCs w:val="20"/>
          <w:color w:val="auto"/>
        </w:rPr>
      </w:pPr>
    </w:p>
    <w:p>
      <w:pPr>
        <w:ind w:left="980" w:right="240" w:hanging="492"/>
        <w:spacing w:after="0" w:line="288" w:lineRule="auto"/>
        <w:tabs>
          <w:tab w:leader="none" w:pos="980" w:val="left"/>
        </w:tabs>
        <w:numPr>
          <w:ilvl w:val="0"/>
          <w:numId w:val="27"/>
        </w:numPr>
        <w:rPr>
          <w:rFonts w:ascii="Symbol" w:cs="Symbol" w:eastAsia="Symbol" w:hAnsi="Symbol"/>
          <w:sz w:val="19"/>
          <w:szCs w:val="19"/>
          <w:color w:val="auto"/>
        </w:rPr>
      </w:pPr>
      <w:r>
        <w:rPr>
          <w:rFonts w:ascii="Times New Roman" w:cs="Times New Roman" w:eastAsia="Times New Roman" w:hAnsi="Times New Roman"/>
          <w:sz w:val="19"/>
          <w:szCs w:val="19"/>
          <w:color w:val="auto"/>
        </w:rPr>
        <w:t>maintaining and establishing relationships with contract research organizations (“CROs”) and clinical sites for the clinical development of these programs both in the United States and internationally;</w:t>
      </w:r>
    </w:p>
    <w:p>
      <w:pPr>
        <w:spacing w:after="0" w:line="52" w:lineRule="exact"/>
        <w:rPr>
          <w:rFonts w:ascii="Symbol" w:cs="Symbol" w:eastAsia="Symbol" w:hAnsi="Symbol"/>
          <w:sz w:val="19"/>
          <w:szCs w:val="19"/>
          <w:color w:val="auto"/>
        </w:rPr>
      </w:pPr>
    </w:p>
    <w:p>
      <w:pPr>
        <w:ind w:left="980" w:hanging="492"/>
        <w:spacing w:after="0"/>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frequency and severity of adverse events in the clinical trials;</w:t>
      </w:r>
    </w:p>
    <w:p>
      <w:pPr>
        <w:spacing w:after="0" w:line="119" w:lineRule="exact"/>
        <w:rPr>
          <w:rFonts w:ascii="Symbol" w:cs="Symbol" w:eastAsia="Symbol" w:hAnsi="Symbol"/>
          <w:sz w:val="20"/>
          <w:szCs w:val="20"/>
          <w:color w:val="auto"/>
        </w:rPr>
      </w:pPr>
    </w:p>
    <w:p>
      <w:pPr>
        <w:ind w:left="980" w:right="160" w:hanging="492"/>
        <w:spacing w:after="0" w:line="261"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results of clinical trials conducted by third parties, including RemeGen, in autoimmune disorders if such trials result in changes to the standard of care for autoimmune disorders;</w:t>
      </w:r>
    </w:p>
    <w:p>
      <w:pPr>
        <w:spacing w:after="0" w:line="77" w:lineRule="exact"/>
        <w:rPr>
          <w:rFonts w:ascii="Symbol" w:cs="Symbol" w:eastAsia="Symbol" w:hAnsi="Symbol"/>
          <w:sz w:val="20"/>
          <w:szCs w:val="20"/>
          <w:color w:val="auto"/>
        </w:rPr>
      </w:pPr>
    </w:p>
    <w:p>
      <w:pPr>
        <w:ind w:left="980" w:right="980" w:hanging="492"/>
        <w:spacing w:after="0" w:line="262"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efficacy, safety and tolerability profiles that are satisfactory to the FDA, the EMA or any comparable foreign regulatory authority for marketing approval;</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timely receipt of marketing approvals for our programs from applicable regulatory authorities;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of any required post-marketing approval commitments to applicable regulatory authorities;</w:t>
      </w:r>
    </w:p>
    <w:p>
      <w:pPr>
        <w:spacing w:after="0" w:line="118" w:lineRule="exact"/>
        <w:rPr>
          <w:rFonts w:ascii="Symbol" w:cs="Symbol" w:eastAsia="Symbol" w:hAnsi="Symbol"/>
          <w:sz w:val="20"/>
          <w:szCs w:val="20"/>
          <w:color w:val="auto"/>
        </w:rPr>
      </w:pPr>
    </w:p>
    <w:p>
      <w:pPr>
        <w:ind w:left="980" w:right="120" w:hanging="492"/>
        <w:spacing w:after="0" w:line="262" w:lineRule="auto"/>
        <w:tabs>
          <w:tab w:leader="none" w:pos="98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maintenance of existing or the establishment of new supply arrangements with third-party suppliers and manufacturers for clinical development of our programs;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sectPr>
      </w:pPr>
    </w:p>
    <w:bookmarkStart w:id="37" w:name="page38"/>
    <w:bookmarkEnd w:id="37"/>
    <w:p>
      <w:pPr>
        <w:ind w:left="980" w:right="480" w:hanging="492"/>
        <w:spacing w:after="0" w:line="261" w:lineRule="auto"/>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obtain and maintain arrangements with third-party manufacturers to produce finished products that are appropriate for commercial sale of our programs, if approved;</w:t>
      </w:r>
    </w:p>
    <w:p>
      <w:pPr>
        <w:spacing w:after="0" w:line="77" w:lineRule="exact"/>
        <w:rPr>
          <w:rFonts w:ascii="Symbol" w:cs="Symbol" w:eastAsia="Symbol" w:hAnsi="Symbol"/>
          <w:sz w:val="20"/>
          <w:szCs w:val="20"/>
          <w:color w:val="auto"/>
        </w:rPr>
      </w:pPr>
    </w:p>
    <w:p>
      <w:pPr>
        <w:ind w:left="980" w:right="200" w:hanging="492"/>
        <w:spacing w:after="0" w:line="262" w:lineRule="auto"/>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and maintaining patent protection, trade secret protection and regulatory exclusivity, both in the United States and internationally;</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protection of our rights in our intellectual property portfolio;</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successful launch of commercial sales following any marketing approval;</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a continued acceptable safety profile following any marketing approval;</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commercial acceptance by patients, the medical community and third-party payors;</w:t>
      </w:r>
    </w:p>
    <w:p>
      <w:pPr>
        <w:spacing w:after="0" w:line="119" w:lineRule="exact"/>
        <w:rPr>
          <w:rFonts w:ascii="Symbol" w:cs="Symbol" w:eastAsia="Symbol" w:hAnsi="Symbol"/>
          <w:sz w:val="20"/>
          <w:szCs w:val="20"/>
          <w:color w:val="auto"/>
        </w:rPr>
      </w:pPr>
    </w:p>
    <w:p>
      <w:pPr>
        <w:jc w:val="both"/>
        <w:ind w:left="980" w:right="60" w:hanging="492"/>
        <w:spacing w:after="0" w:line="250" w:lineRule="auto"/>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obtain coverage and adequate reimbursement from third-party payors for our products and patients’ willingness to pay out-of-pocket in the absence of such coverage and adequate reimbursement; and</w:t>
      </w:r>
    </w:p>
    <w:p>
      <w:pPr>
        <w:spacing w:after="0" w:line="90" w:lineRule="exact"/>
        <w:rPr>
          <w:rFonts w:ascii="Symbol" w:cs="Symbol" w:eastAsia="Symbol" w:hAnsi="Symbol"/>
          <w:sz w:val="20"/>
          <w:szCs w:val="20"/>
          <w:color w:val="auto"/>
        </w:rPr>
      </w:pPr>
    </w:p>
    <w:p>
      <w:pPr>
        <w:ind w:left="980" w:hanging="492"/>
        <w:spacing w:after="0"/>
        <w:tabs>
          <w:tab w:leader="none" w:pos="98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compete with other treatments.</w:t>
      </w:r>
    </w:p>
    <w:p>
      <w:pPr>
        <w:spacing w:after="0" w:line="2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telitacicept, which would materially harm our business. If we do not receive marketing approval for telitacicept, we may not be able to continue our operations.</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derive results and data for telitacicept from clinical trials conducted by RemeGen in China; our access to the clinical results and data may be limited and there is no assurance that the clinical data from any such trials will be accepted or considered by the FDA, or other comparable regulatory authorities.</w:t>
      </w:r>
    </w:p>
    <w:p>
      <w:pPr>
        <w:spacing w:after="0" w:line="178" w:lineRule="exact"/>
        <w:rPr>
          <w:sz w:val="20"/>
          <w:szCs w:val="20"/>
          <w:color w:val="auto"/>
        </w:rPr>
      </w:pPr>
    </w:p>
    <w:p>
      <w:pPr>
        <w:ind w:right="20" w:firstLine="540"/>
        <w:spacing w:after="0" w:line="244" w:lineRule="auto"/>
        <w:rPr>
          <w:sz w:val="20"/>
          <w:szCs w:val="20"/>
          <w:color w:val="auto"/>
        </w:rPr>
      </w:pPr>
      <w:r>
        <w:rPr>
          <w:rFonts w:ascii="Times New Roman" w:cs="Times New Roman" w:eastAsia="Times New Roman" w:hAnsi="Times New Roman"/>
          <w:sz w:val="20"/>
          <w:szCs w:val="20"/>
          <w:color w:val="auto"/>
        </w:rPr>
        <w:t>RemeGen has received regulatory approval in China for telitacicept for the treatment of gMG, RA and SLE, and RemeGen is developing telitacicept in clinical trials in China in additional indications. While these trials may provide us with clinical data that can inform our future development strategy, we do not have control over the protocols, administration, or conduct of the trials or their compliance with regulatory requirements. There is also no assurance that the clinical data from any such clinical trials will be accepted or considered by the FDA or other comparable regulatory authorities. We have no control over the conduct and timing of, and communications with the National Medical Products Administration (“NMPA”) or other foreign regulatory agencies in Greater China with respect to, the trials that RemeGen is conducting for telitacicept. Any data integrity issues or patient safety issues arising out of any of these trials would be beyond our control, yet could adversely affect our reputation and damage the clinical and commercial prospects for our product candidates.</w:t>
      </w:r>
    </w:p>
    <w:p>
      <w:pPr>
        <w:spacing w:after="0" w:line="19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third parties accurately generating and reporting data related to our product candidates, and their conduct could adversely affect our business.</w:t>
      </w:r>
    </w:p>
    <w:p>
      <w:pPr>
        <w:spacing w:after="0" w:line="157" w:lineRule="exact"/>
        <w:rPr>
          <w:sz w:val="20"/>
          <w:szCs w:val="20"/>
          <w:color w:val="auto"/>
        </w:rPr>
      </w:pPr>
    </w:p>
    <w:p>
      <w:pPr>
        <w:ind w:right="20" w:firstLine="540"/>
        <w:spacing w:after="0" w:line="245" w:lineRule="auto"/>
        <w:rPr>
          <w:sz w:val="20"/>
          <w:szCs w:val="20"/>
          <w:color w:val="auto"/>
        </w:rPr>
      </w:pPr>
      <w:r>
        <w:rPr>
          <w:rFonts w:ascii="Times New Roman" w:cs="Times New Roman" w:eastAsia="Times New Roman" w:hAnsi="Times New Roman"/>
          <w:sz w:val="20"/>
          <w:szCs w:val="20"/>
          <w:color w:val="auto"/>
        </w:rPr>
        <w:t>We have and may in the future acquire or in-license our product candidates at various stages of development. For example, we in-licensed telitacicept from RemeGen. Our assumptions about the potential of telitacicept are partially based on data generated from preclinical studies and clinical trials conducted by RemeGen. We are dependent on RemeGen having conducted its research and development in accordance with the applicable protocols, informed consent, legal and regulatory requirements, and scientific standards, having accurately reported the results of all studies conducted, and having correctly collected the data from these studies. If these activities were not compliant, accurate or correct, the clinical development, regulatory approval or commercialization of telitacicept will be adversely affected.</w:t>
      </w:r>
    </w:p>
    <w:p>
      <w:pPr>
        <w:spacing w:after="0" w:line="192" w:lineRule="exact"/>
        <w:rPr>
          <w:sz w:val="20"/>
          <w:szCs w:val="20"/>
          <w:color w:val="auto"/>
        </w:rPr>
      </w:pPr>
    </w:p>
    <w:p>
      <w:pPr>
        <w:ind w:right="180" w:firstLine="540"/>
        <w:spacing w:after="0" w:line="249" w:lineRule="auto"/>
        <w:rPr>
          <w:sz w:val="20"/>
          <w:szCs w:val="20"/>
          <w:color w:val="auto"/>
        </w:rPr>
      </w:pPr>
      <w:r>
        <w:rPr>
          <w:rFonts w:ascii="Times New Roman" w:cs="Times New Roman" w:eastAsia="Times New Roman" w:hAnsi="Times New Roman"/>
          <w:sz w:val="20"/>
          <w:szCs w:val="20"/>
          <w:color w:val="auto"/>
        </w:rPr>
        <w:t>Additionally, in cases where third parties conduct clinical trials using our product candidates through partnership or licensing agreements, we face additional risks related to the conduct and outcome of those trials that are outside of our direct control. For example, issues such as poor data integrity, safety concerns, protocol violations, or failure to meet endpoints in these third-party trials could adversely impact the development timeline and regulatory approval process for those product candidates in other indications or territories, require additional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35" w:right="1440" w:bottom="175" w:gutter="0" w:footer="0" w:header="0"/>
        </w:sectPr>
      </w:pPr>
    </w:p>
    <w:bookmarkStart w:id="38" w:name="page39"/>
    <w:bookmarkEnd w:id="38"/>
    <w:p>
      <w:pPr>
        <w:ind w:right="400"/>
        <w:spacing w:after="0" w:line="304" w:lineRule="auto"/>
        <w:rPr>
          <w:sz w:val="20"/>
          <w:szCs w:val="20"/>
          <w:color w:val="auto"/>
        </w:rPr>
      </w:pPr>
      <w:r>
        <w:rPr>
          <w:rFonts w:ascii="Times New Roman" w:cs="Times New Roman" w:eastAsia="Times New Roman" w:hAnsi="Times New Roman"/>
          <w:sz w:val="19"/>
          <w:szCs w:val="19"/>
          <w:color w:val="auto"/>
        </w:rPr>
        <w:t>studies, create negative market perception affecting future commercial potential, impact our ability to pursue strategic alternatives for such product candidates, or result in increased regulatory scrutiny across our programs.</w:t>
      </w:r>
    </w:p>
    <w:p>
      <w:pPr>
        <w:spacing w:after="0" w:line="1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increase our costs or necessitate the abandonment or limitation of the development of our product candidates.</w:t>
      </w:r>
    </w:p>
    <w:p>
      <w:pPr>
        <w:spacing w:after="0" w:line="178" w:lineRule="exact"/>
        <w:rPr>
          <w:sz w:val="20"/>
          <w:szCs w:val="20"/>
          <w:color w:val="auto"/>
        </w:rPr>
      </w:pPr>
    </w:p>
    <w:p>
      <w:pPr>
        <w:ind w:right="20" w:firstLine="540"/>
        <w:spacing w:after="0" w:line="246" w:lineRule="auto"/>
        <w:rPr>
          <w:sz w:val="20"/>
          <w:szCs w:val="20"/>
          <w:color w:val="auto"/>
        </w:rPr>
      </w:pPr>
      <w:r>
        <w:rPr>
          <w:rFonts w:ascii="Times New Roman" w:cs="Times New Roman" w:eastAsia="Times New Roman" w:hAnsi="Times New Roman"/>
          <w:sz w:val="20"/>
          <w:szCs w:val="20"/>
          <w:color w:val="auto"/>
        </w:rPr>
        <w:t>If our product candidates are associated with side effects in clinical trials or have characteristics that are unexpected, our costs could increase or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early-stage testing have later been found to cause side effects that prevented further development of the product candidate.</w:t>
      </w:r>
    </w:p>
    <w:p>
      <w:pPr>
        <w:spacing w:after="0" w:line="189" w:lineRule="exact"/>
        <w:rPr>
          <w:sz w:val="20"/>
          <w:szCs w:val="20"/>
          <w:color w:val="auto"/>
        </w:rPr>
      </w:pPr>
    </w:p>
    <w:p>
      <w:pPr>
        <w:ind w:right="80" w:firstLine="540"/>
        <w:spacing w:after="0" w:line="270" w:lineRule="auto"/>
        <w:rPr>
          <w:sz w:val="20"/>
          <w:szCs w:val="20"/>
          <w:color w:val="auto"/>
        </w:rPr>
      </w:pPr>
      <w:r>
        <w:rPr>
          <w:rFonts w:ascii="Times New Roman" w:cs="Times New Roman" w:eastAsia="Times New Roman" w:hAnsi="Times New Roman"/>
          <w:sz w:val="19"/>
          <w:szCs w:val="19"/>
          <w:color w:val="auto"/>
        </w:rPr>
        <w:t>Before we can obtain marketing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8" w:lineRule="exact"/>
        <w:rPr>
          <w:sz w:val="20"/>
          <w:szCs w:val="20"/>
          <w:color w:val="auto"/>
        </w:rPr>
      </w:pPr>
    </w:p>
    <w:p>
      <w:pPr>
        <w:ind w:right="160" w:firstLine="540"/>
        <w:spacing w:after="0" w:line="277" w:lineRule="auto"/>
        <w:rPr>
          <w:sz w:val="20"/>
          <w:szCs w:val="20"/>
          <w:color w:val="auto"/>
        </w:rPr>
      </w:pPr>
      <w:r>
        <w:rPr>
          <w:rFonts w:ascii="Times New Roman" w:cs="Times New Roman" w:eastAsia="Times New Roman" w:hAnsi="Times New Roman"/>
          <w:sz w:val="20"/>
          <w:szCs w:val="20"/>
          <w:color w:val="auto"/>
        </w:rPr>
        <w:t>Additionally, if we or others identify undesirable side effects caused by our product candidates, a number of potentially significant negative consequences could result, including:</w:t>
      </w:r>
    </w:p>
    <w:p>
      <w:pPr>
        <w:spacing w:after="0" w:line="63" w:lineRule="exact"/>
        <w:rPr>
          <w:sz w:val="20"/>
          <w:szCs w:val="20"/>
          <w:color w:val="auto"/>
        </w:rPr>
      </w:pPr>
    </w:p>
    <w:p>
      <w:pPr>
        <w:ind w:left="980" w:right="260" w:hanging="492"/>
        <w:spacing w:after="0" w:line="262" w:lineRule="auto"/>
        <w:tabs>
          <w:tab w:leader="none" w:pos="9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need to abandon the development or limit the further development of our product candidates, including in various populations and for certain indications;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withdraw approval to market such product;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authorities may require additional warnings on the labels;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a medication guide outlining the risks of such side effects for distribution to patients may be required;</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reputation and physician or patient acceptance of our product candidates, if approved, may suffer.</w:t>
      </w:r>
    </w:p>
    <w:p>
      <w:pPr>
        <w:spacing w:after="0" w:line="2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179" w:lineRule="exact"/>
        <w:rPr>
          <w:sz w:val="20"/>
          <w:szCs w:val="20"/>
          <w:color w:val="auto"/>
        </w:rPr>
      </w:pPr>
    </w:p>
    <w:p>
      <w:pPr>
        <w:ind w:firstLine="540"/>
        <w:spacing w:after="0" w:line="242" w:lineRule="auto"/>
        <w:rPr>
          <w:sz w:val="20"/>
          <w:szCs w:val="20"/>
          <w:color w:val="auto"/>
        </w:rPr>
      </w:pPr>
      <w:r>
        <w:rPr>
          <w:rFonts w:ascii="Times New Roman" w:cs="Times New Roman" w:eastAsia="Times New Roman" w:hAnsi="Times New Roman"/>
          <w:sz w:val="20"/>
          <w:szCs w:val="20"/>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In addition, we may report preliminary analyses of only certain endpoints rather than all endpoints.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We may also disclose interim data from our clinical trials. Interim data from clinical trials that we may complete are subject to the risk that one or more of the clinical outcomes may materially change as subject enrollment continues and more subject data become available. Adverse differences between interim, topline or preliminary data and final data could significantly harm our reputation and business prospects. Further, disclosure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0" w:right="1440" w:bottom="175" w:gutter="0" w:footer="0" w:header="0"/>
        </w:sectPr>
      </w:pPr>
    </w:p>
    <w:bookmarkStart w:id="39" w:name="page40"/>
    <w:bookmarkEnd w:id="39"/>
    <w:p>
      <w:pPr>
        <w:ind w:right="80"/>
        <w:spacing w:after="0" w:line="277" w:lineRule="auto"/>
        <w:rPr>
          <w:sz w:val="20"/>
          <w:szCs w:val="20"/>
          <w:color w:val="auto"/>
        </w:rPr>
      </w:pPr>
      <w:r>
        <w:rPr>
          <w:rFonts w:ascii="Times New Roman" w:cs="Times New Roman" w:eastAsia="Times New Roman" w:hAnsi="Times New Roman"/>
          <w:sz w:val="20"/>
          <w:szCs w:val="20"/>
          <w:color w:val="auto"/>
        </w:rPr>
        <w:t>interim, topline or preliminary data by us or by our competitors could result in volatility in the price of our common stock.</w:t>
      </w:r>
    </w:p>
    <w:p>
      <w:pPr>
        <w:spacing w:after="0" w:line="159" w:lineRule="exact"/>
        <w:rPr>
          <w:sz w:val="20"/>
          <w:szCs w:val="20"/>
          <w:color w:val="auto"/>
        </w:rPr>
      </w:pPr>
    </w:p>
    <w:p>
      <w:pPr>
        <w:ind w:right="60" w:firstLine="540"/>
        <w:spacing w:after="0" w:line="244"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program, product candidate or our business.</w:t>
      </w:r>
    </w:p>
    <w:p>
      <w:pPr>
        <w:spacing w:after="0" w:line="195" w:lineRule="exact"/>
        <w:rPr>
          <w:sz w:val="20"/>
          <w:szCs w:val="20"/>
          <w:color w:val="auto"/>
        </w:rPr>
      </w:pPr>
    </w:p>
    <w:p>
      <w:pPr>
        <w:ind w:right="500" w:firstLine="540"/>
        <w:spacing w:after="0" w:line="252" w:lineRule="auto"/>
        <w:rPr>
          <w:sz w:val="20"/>
          <w:szCs w:val="20"/>
          <w:color w:val="auto"/>
        </w:rPr>
      </w:pPr>
      <w:r>
        <w:rPr>
          <w:rFonts w:ascii="Times New Roman" w:cs="Times New Roman" w:eastAsia="Times New Roman" w:hAnsi="Times New Roman"/>
          <w:sz w:val="20"/>
          <w:szCs w:val="20"/>
          <w:color w:val="auto"/>
        </w:rPr>
        <w:t>If the interim, topline or preliminary data that we report differ from actual results, or if others, including regulatory authorities, disagree with the conclusions reached, our ability to further develop, obtain marketing approval for and/or commercialize our product candidates may be harmed, which could harm our business, operating results, prospects or financial condition.</w:t>
      </w:r>
    </w:p>
    <w:p>
      <w:pPr>
        <w:spacing w:after="0" w:line="18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Success in preclinical studies or clinical trials may not be indicative of results in future clinical trials, particularly for clinical trials that involve only a small number of patients.</w:t>
      </w:r>
    </w:p>
    <w:p>
      <w:pPr>
        <w:spacing w:after="0" w:line="1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Results from preclinical studies are not necessarily predictive of future clinical trial results, and interim results of a clinical trial are not necessarily indicative of final results. This risk is heightened when clinical trials involve only a small number of patients, which makes it difficult to predict whether early results from these trials will be indicative of the final results of the trials or be replicated in future trials. Further, success in preclinical studies and earlier stage clinical trials of telitacicept conducted by RemeGen, or the fact that telitacicept has received marketing approval in China in multiple indications, does not ensure that later clinical trials conducted by us will generate the same results or otherwise provide adequate data to demonstrate the efficacy and safety of a product candidate. For example, the results of RemeGen’s Phase 3 clinical trials of telitacicept in gMG and SjD may not be replicated in our ongoing global Phase 3 clinical trials of telitacicept in gMG and SjD due to a variety of factors, including differences in trial design, patient demographics and enrollment and placebo rates. Our product candidates may fail to show the desired safety and efficacy in clinical development despite positive results in preclinical studies or having successfully advanced through initial clinical trials. This failure to establish sufficient efficacy and safety could cause us to abandon clinical development of our product candidates.</w:t>
      </w:r>
    </w:p>
    <w:p>
      <w:pPr>
        <w:spacing w:after="0" w:line="1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product candidates and research programs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product candidates and research and development programs for specific indications may not yield any commercially viable products. For example, in 2025 we wound down our then -ongoing clinical and manufacturing operations and clinical trials and, after a strategic evaluation process, in June 2025 we entered into a license agreement with RemeGen related to telitacicept and focused our operations on the development of that clinical program. Further,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0" w:right="1440" w:bottom="175" w:gutter="0" w:footer="0" w:header="0"/>
        </w:sectPr>
      </w:pPr>
    </w:p>
    <w:bookmarkStart w:id="40" w:name="page41"/>
    <w:bookmarkEnd w:id="40"/>
    <w:p>
      <w:pPr>
        <w:spacing w:after="0" w:line="21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a product candidate receives marketing approval, it may fail to achieve the degree of market acceptance by physicians, patients, healthcare payors and others in the medical community necessary for commercial success.</w:t>
      </w:r>
    </w:p>
    <w:p>
      <w:pPr>
        <w:spacing w:after="0" w:line="185"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The commercial success of our product candidates, if approved, will depend upon their degree of market acceptance by physicians, patients, third-party payors and others in the medical community.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spacing w:after="0" w:line="91" w:lineRule="exact"/>
        <w:rPr>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efficacy and safety of such product candidate as demonstrated in clinical trials;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efficacy and safety of other products that are used in combination or in sequence with our product;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potential and perceived advantages of our product candidates compared to alternative treatments;</w:t>
      </w:r>
    </w:p>
    <w:p>
      <w:pPr>
        <w:spacing w:after="0" w:line="118" w:lineRule="exact"/>
        <w:rPr>
          <w:rFonts w:ascii="Symbol" w:cs="Symbol" w:eastAsia="Symbol" w:hAnsi="Symbol"/>
          <w:sz w:val="20"/>
          <w:szCs w:val="20"/>
          <w:color w:val="auto"/>
        </w:rPr>
      </w:pPr>
    </w:p>
    <w:p>
      <w:pPr>
        <w:ind w:left="980" w:right="520" w:hanging="492"/>
        <w:spacing w:after="0" w:line="262" w:lineRule="auto"/>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limitation to our targeted patient population and limitations or warnings contained in approved labeling by the FDA or other regulatory authorities;</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ability to offer our products for sale at competitive prices;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convenience and ease of administration compared to alternative treatments;</w:t>
      </w:r>
    </w:p>
    <w:p>
      <w:pPr>
        <w:spacing w:after="0" w:line="119" w:lineRule="exact"/>
        <w:rPr>
          <w:rFonts w:ascii="Symbol" w:cs="Symbol" w:eastAsia="Symbol" w:hAnsi="Symbol"/>
          <w:sz w:val="20"/>
          <w:szCs w:val="20"/>
          <w:color w:val="auto"/>
        </w:rPr>
      </w:pPr>
    </w:p>
    <w:p>
      <w:pPr>
        <w:ind w:left="980" w:right="480" w:hanging="492"/>
        <w:spacing w:after="0" w:line="261" w:lineRule="auto"/>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clinical indications for which the product candidate is approved by the FDA, the EMA or other regulatory authorities;</w:t>
      </w:r>
    </w:p>
    <w:p>
      <w:pPr>
        <w:spacing w:after="0" w:line="77" w:lineRule="exact"/>
        <w:rPr>
          <w:rFonts w:ascii="Symbol" w:cs="Symbol" w:eastAsia="Symbol" w:hAnsi="Symbol"/>
          <w:sz w:val="20"/>
          <w:szCs w:val="20"/>
          <w:color w:val="auto"/>
        </w:rPr>
      </w:pPr>
    </w:p>
    <w:p>
      <w:pPr>
        <w:ind w:left="980" w:hanging="492"/>
        <w:spacing w:after="0" w:line="250" w:lineRule="auto"/>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willingness of the target patient population to try novel biologics and of physicians to prescribe these treatments, as well as their willingness to accept an intervention that involves the alteration of the patient’s gene;</w:t>
      </w:r>
    </w:p>
    <w:p>
      <w:pPr>
        <w:spacing w:after="0" w:line="90" w:lineRule="exact"/>
        <w:rPr>
          <w:rFonts w:ascii="Symbol" w:cs="Symbol" w:eastAsia="Symbol" w:hAnsi="Symbol"/>
          <w:sz w:val="20"/>
          <w:szCs w:val="20"/>
          <w:color w:val="auto"/>
        </w:rPr>
      </w:pPr>
    </w:p>
    <w:p>
      <w:pPr>
        <w:ind w:left="980" w:right="320" w:hanging="492"/>
        <w:spacing w:after="0" w:line="262" w:lineRule="auto"/>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labeling or product insert requirements of the FDA, the EMA or other regulatory authorities, including any limitations or warnings contained in a product’s approved labeling;</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of market introduction of competitive products;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publicity concerning our products or competing products and treatments;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availability of third-party coverage and sufficiency of reimbursement; and</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225" w:lineRule="exact"/>
        <w:rPr>
          <w:sz w:val="20"/>
          <w:szCs w:val="20"/>
          <w:color w:val="auto"/>
        </w:rPr>
      </w:pPr>
    </w:p>
    <w:p>
      <w:pPr>
        <w:ind w:right="280" w:firstLine="490"/>
        <w:spacing w:after="0" w:line="278" w:lineRule="auto"/>
        <w:rPr>
          <w:sz w:val="20"/>
          <w:szCs w:val="20"/>
          <w:color w:val="auto"/>
        </w:rPr>
      </w:pPr>
      <w:r>
        <w:rPr>
          <w:rFonts w:ascii="Times New Roman" w:cs="Times New Roman" w:eastAsia="Times New Roman" w:hAnsi="Times New Roman"/>
          <w:sz w:val="20"/>
          <w:szCs w:val="20"/>
          <w:color w:val="auto"/>
        </w:rPr>
        <w:t>Even if a product candidate is approved, such product may not achieve an adequate level of acceptance, we may not generate significant product revenues, and we may not become profitable.</w:t>
      </w:r>
    </w:p>
    <w:p>
      <w:pPr>
        <w:spacing w:after="0" w:line="15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in the future, we are unable to establish sales and marketing capabilities or enter into agreements with third parties to sell and market our product candidates, we may not be successful in commercializing those product candidates if and when they are approved.</w:t>
      </w:r>
    </w:p>
    <w:p>
      <w:pPr>
        <w:spacing w:after="0" w:line="18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We do not have a sales or marketing infrastructure and have limited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200" w:lineRule="exact"/>
        <w:rPr>
          <w:sz w:val="20"/>
          <w:szCs w:val="20"/>
          <w:color w:val="auto"/>
        </w:rPr>
      </w:pPr>
    </w:p>
    <w:p>
      <w:pPr>
        <w:jc w:val="center"/>
        <w:ind w:right="560"/>
        <w:spacing w:after="0" w:line="277" w:lineRule="auto"/>
        <w:rPr>
          <w:sz w:val="20"/>
          <w:szCs w:val="20"/>
          <w:color w:val="auto"/>
        </w:rPr>
      </w:pPr>
      <w:r>
        <w:rPr>
          <w:rFonts w:ascii="Times New Roman" w:cs="Times New Roman" w:eastAsia="Times New Roman" w:hAnsi="Times New Roman"/>
          <w:sz w:val="20"/>
          <w:szCs w:val="20"/>
          <w:color w:val="auto"/>
        </w:rPr>
        <w:t>There are risks involved with both establishing our own commercial capabilities and entering into arrangements with third parties to perform these services. For example, recruiting and training a sales force 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40" w:right="1440" w:bottom="175" w:gutter="0" w:footer="0" w:header="0"/>
        </w:sectPr>
      </w:pPr>
    </w:p>
    <w:bookmarkStart w:id="41" w:name="page42"/>
    <w:bookmarkEnd w:id="41"/>
    <w:p>
      <w:pPr>
        <w:ind w:right="160"/>
        <w:spacing w:after="0" w:line="249" w:lineRule="auto"/>
        <w:rPr>
          <w:sz w:val="20"/>
          <w:szCs w:val="20"/>
          <w:color w:val="auto"/>
        </w:rPr>
      </w:pPr>
      <w:r>
        <w:rPr>
          <w:rFonts w:ascii="Times New Roman" w:cs="Times New Roman" w:eastAsia="Times New Roman" w:hAnsi="Times New Roman"/>
          <w:sz w:val="20"/>
          <w:szCs w:val="20"/>
          <w:color w:val="auto"/>
        </w:rPr>
        <w:t>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Factors that may inhibit our efforts to commercialize our product candidates on our own include:</w:t>
      </w:r>
    </w:p>
    <w:p>
      <w:pPr>
        <w:spacing w:after="0" w:line="135" w:lineRule="exact"/>
        <w:rPr>
          <w:sz w:val="20"/>
          <w:szCs w:val="20"/>
          <w:color w:val="auto"/>
        </w:rPr>
      </w:pPr>
    </w:p>
    <w:p>
      <w:pPr>
        <w:ind w:left="980" w:right="620" w:hanging="492"/>
        <w:spacing w:after="0" w:line="261" w:lineRule="auto"/>
        <w:tabs>
          <w:tab w:leader="none" w:pos="98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our inability to recruit and retain adequate numbers of effective sales, marketing, reimbursement, customer service, medical affairs and other support personnel;</w:t>
      </w:r>
    </w:p>
    <w:p>
      <w:pPr>
        <w:spacing w:after="0" w:line="77" w:lineRule="exact"/>
        <w:rPr>
          <w:rFonts w:ascii="Symbol" w:cs="Symbol" w:eastAsia="Symbol" w:hAnsi="Symbol"/>
          <w:sz w:val="20"/>
          <w:szCs w:val="20"/>
          <w:color w:val="auto"/>
        </w:rPr>
      </w:pPr>
    </w:p>
    <w:p>
      <w:pPr>
        <w:ind w:left="980" w:right="40" w:hanging="492"/>
        <w:spacing w:after="0" w:line="261" w:lineRule="auto"/>
        <w:tabs>
          <w:tab w:leader="none" w:pos="98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of sales personnel to obtain access to physicians or educate adequate numbers of physicians on the benefits of prescribing any future products;</w:t>
      </w:r>
    </w:p>
    <w:p>
      <w:pPr>
        <w:spacing w:after="0" w:line="77" w:lineRule="exact"/>
        <w:rPr>
          <w:rFonts w:ascii="Symbol" w:cs="Symbol" w:eastAsia="Symbol" w:hAnsi="Symbol"/>
          <w:sz w:val="20"/>
          <w:szCs w:val="20"/>
          <w:color w:val="auto"/>
        </w:rPr>
      </w:pPr>
    </w:p>
    <w:p>
      <w:pPr>
        <w:ind w:left="980" w:right="980" w:hanging="492"/>
        <w:spacing w:after="0" w:line="262" w:lineRule="auto"/>
        <w:tabs>
          <w:tab w:leader="none" w:pos="98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of reimbursement professionals to negotiate arrangements for formulary access, reimbursement and other acceptance by payors;</w:t>
      </w:r>
    </w:p>
    <w:p>
      <w:pPr>
        <w:spacing w:after="0" w:line="75" w:lineRule="exact"/>
        <w:rPr>
          <w:rFonts w:ascii="Symbol" w:cs="Symbol" w:eastAsia="Symbol" w:hAnsi="Symbol"/>
          <w:sz w:val="20"/>
          <w:szCs w:val="20"/>
          <w:color w:val="auto"/>
        </w:rPr>
      </w:pPr>
    </w:p>
    <w:p>
      <w:pPr>
        <w:ind w:left="980" w:right="360" w:hanging="492"/>
        <w:spacing w:after="0" w:line="262" w:lineRule="auto"/>
        <w:tabs>
          <w:tab w:leader="none" w:pos="98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restricted or closed distribution channels that make it difficult to distribute our product candidates to segments of the patient population;</w:t>
      </w:r>
    </w:p>
    <w:p>
      <w:pPr>
        <w:spacing w:after="0" w:line="76" w:lineRule="exact"/>
        <w:rPr>
          <w:rFonts w:ascii="Symbol" w:cs="Symbol" w:eastAsia="Symbol" w:hAnsi="Symbol"/>
          <w:sz w:val="20"/>
          <w:szCs w:val="20"/>
          <w:color w:val="auto"/>
        </w:rPr>
      </w:pPr>
    </w:p>
    <w:p>
      <w:pPr>
        <w:ind w:left="980" w:right="80" w:hanging="492"/>
        <w:spacing w:after="0" w:line="261" w:lineRule="auto"/>
        <w:tabs>
          <w:tab w:leader="none" w:pos="98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unforeseen costs and expenses associated with creating an independent commercialization organization.</w:t>
      </w:r>
    </w:p>
    <w:p>
      <w:pPr>
        <w:spacing w:after="0" w:line="224"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If we enter into arrangements with third parties to perform sales, marketing, commercial support and distribution services, our product revenues or the profitability of these product revenues to us may be lower than if we were to market and sell products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product candidates, if approved.</w:t>
      </w:r>
    </w:p>
    <w:p>
      <w:pPr>
        <w:spacing w:after="0" w:line="19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development and commercialization of new drug and biologic products is highly competitive. We will face competition with respect to our product candidates that we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0" w:lineRule="exact"/>
        <w:rPr>
          <w:sz w:val="20"/>
          <w:szCs w:val="20"/>
          <w:color w:val="auto"/>
        </w:rPr>
      </w:pPr>
    </w:p>
    <w:p>
      <w:pPr>
        <w:jc w:val="both"/>
        <w:ind w:right="280" w:firstLine="490"/>
        <w:spacing w:after="0" w:line="249" w:lineRule="auto"/>
        <w:rPr>
          <w:sz w:val="20"/>
          <w:szCs w:val="20"/>
          <w:color w:val="auto"/>
        </w:rPr>
      </w:pPr>
      <w:r>
        <w:rPr>
          <w:rFonts w:ascii="Times New Roman" w:cs="Times New Roman" w:eastAsia="Times New Roman" w:hAnsi="Times New Roman"/>
          <w:sz w:val="20"/>
          <w:szCs w:val="20"/>
          <w:color w:val="auto"/>
        </w:rPr>
        <w:t>Competition in the autoimmune field is intense and involves multiple monoclonal antibodies (mAbs), other biologics and small molecules either already marketed or in development by many different companies including large pharmaceutical companies such as Alexion (Solaris and Ultomiris/Myasthenia Gravis), Amgen, Inc.</w:t>
      </w:r>
    </w:p>
    <w:p>
      <w:pPr>
        <w:spacing w:after="0" w:line="2" w:lineRule="exact"/>
        <w:rPr>
          <w:sz w:val="20"/>
          <w:szCs w:val="20"/>
          <w:color w:val="auto"/>
        </w:rPr>
      </w:pPr>
    </w:p>
    <w:p>
      <w:pPr>
        <w:ind w:right="700"/>
        <w:spacing w:after="0" w:line="244" w:lineRule="auto"/>
        <w:rPr>
          <w:sz w:val="20"/>
          <w:szCs w:val="20"/>
          <w:color w:val="auto"/>
        </w:rPr>
      </w:pPr>
      <w:r>
        <w:rPr>
          <w:rFonts w:ascii="Times New Roman" w:cs="Times New Roman" w:eastAsia="Times New Roman" w:hAnsi="Times New Roman"/>
          <w:sz w:val="20"/>
          <w:szCs w:val="20"/>
          <w:color w:val="auto"/>
        </w:rPr>
        <w:t>(Uplinza/Myasthenia Gravis), Argenx (VYVGART and VYVGART HYTRULO/Myasthenia Gravis), UCB (Restage/Myasthenia Gravis), Johnson &amp; Johnson (Imaavy/Myasthenia Gravis), GlaxoSmithKline plc (Benlysta/lupus), F. Hoffman-La Roche AG (Rituxan/often used off label).</w:t>
      </w:r>
    </w:p>
    <w:p>
      <w:pPr>
        <w:spacing w:after="0" w:line="201"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We face and expect to continue to face intense competition from other biopharmaceutical companies, who have launched or are developing products for the treatment of gMG and other autoimmune diseases. Competition for other indications is also fierce, with significant development in almost all of the indications we may develop for our product candidates. Novartis AG, CSL Behring, Grifols, S.A., Curavac, Inc., Takeda Pharmaceutical Co Ltd, Immunovant, Inc., Cartesian Therapeutics, Inc., Amgen, Kyverna, Dianthus, and Regeneron Pharmaceuticals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sectPr>
      </w:pPr>
    </w:p>
    <w:bookmarkStart w:id="42" w:name="page43"/>
    <w:bookmarkEnd w:id="42"/>
    <w:p>
      <w:pPr>
        <w:ind w:right="280"/>
        <w:spacing w:after="0" w:line="277" w:lineRule="auto"/>
        <w:rPr>
          <w:sz w:val="20"/>
          <w:szCs w:val="20"/>
          <w:color w:val="auto"/>
        </w:rPr>
      </w:pPr>
      <w:r>
        <w:rPr>
          <w:rFonts w:ascii="Times New Roman" w:cs="Times New Roman" w:eastAsia="Times New Roman" w:hAnsi="Times New Roman"/>
          <w:sz w:val="20"/>
          <w:szCs w:val="20"/>
          <w:color w:val="auto"/>
        </w:rPr>
        <w:t>Inc./Alnylam Pharmaceuticals, Inc., among others, are developing drugs that may have utility for the treatment of myasthenia gravis (MG) or Sjogren's Disease (SjD)</w:t>
      </w:r>
    </w:p>
    <w:p>
      <w:pPr>
        <w:spacing w:after="0" w:line="169" w:lineRule="exact"/>
        <w:rPr>
          <w:sz w:val="20"/>
          <w:szCs w:val="20"/>
          <w:color w:val="auto"/>
        </w:rPr>
      </w:pPr>
    </w:p>
    <w:p>
      <w:pPr>
        <w:jc w:val="both"/>
        <w:ind w:right="80" w:firstLine="490"/>
        <w:spacing w:after="0" w:line="252" w:lineRule="auto"/>
        <w:rPr>
          <w:sz w:val="20"/>
          <w:szCs w:val="20"/>
          <w:color w:val="auto"/>
        </w:rPr>
      </w:pPr>
      <w:r>
        <w:rPr>
          <w:rFonts w:ascii="Times New Roman" w:cs="Times New Roman" w:eastAsia="Times New Roman" w:hAnsi="Times New Roman"/>
          <w:sz w:val="20"/>
          <w:szCs w:val="20"/>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CAR-T, antibody and/or protein therapies.</w:t>
      </w:r>
    </w:p>
    <w:p>
      <w:pPr>
        <w:spacing w:after="0" w:line="194" w:lineRule="exact"/>
        <w:rPr>
          <w:sz w:val="20"/>
          <w:szCs w:val="20"/>
          <w:color w:val="auto"/>
        </w:rPr>
      </w:pPr>
    </w:p>
    <w:p>
      <w:pPr>
        <w:jc w:val="both"/>
        <w:ind w:right="480" w:firstLine="490"/>
        <w:spacing w:after="0" w:line="249" w:lineRule="auto"/>
        <w:rPr>
          <w:sz w:val="20"/>
          <w:szCs w:val="20"/>
          <w:color w:val="auto"/>
        </w:rPr>
      </w:pPr>
      <w:r>
        <w:rPr>
          <w:rFonts w:ascii="Times New Roman" w:cs="Times New Roman" w:eastAsia="Times New Roman" w:hAnsi="Times New Roman"/>
          <w:sz w:val="20"/>
          <w:szCs w:val="20"/>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w:t>
      </w:r>
    </w:p>
    <w:p>
      <w:pPr>
        <w:spacing w:after="0" w:line="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our product candidates or that would render our product candidates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against competitors.</w:t>
      </w:r>
    </w:p>
    <w:p>
      <w:pPr>
        <w:spacing w:after="0" w:line="211"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our product candidates, if approved.</w:t>
      </w:r>
    </w:p>
    <w:p>
      <w:pPr>
        <w:spacing w:after="0" w:line="19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Negative developments in the field of protein-based therapies, including in particular fusion protein therapies, or approved therapies or therapies in development for the treatment of B cell-mediated autoimmune diseases, could damage public perception of our product candidate and negatively affect our business.</w:t>
      </w:r>
    </w:p>
    <w:p>
      <w:pPr>
        <w:spacing w:after="0" w:line="6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commercial success of our product candidate will depend in part on public acceptance of the use of fusion protein therapies constructed by joining two or more domains encoded by different genes, as well as protein-based therapies more generally, including in particular approved therapies or therapies that are in development for the treatment of B cell-mediated autoimmune diseases. Telitacicept is a novel fusion protein in development for treating B cell mediated autoimmune diseases that inhibits both BLyS (BAFF) and APRIL. Adverse events in post marketing use in any country in any approved indication or off label use, in clinical trials of our product candidate or in clinical trials of others developing similar product candidates, including RemeGen, and the resulting publicity, as well as any other negative developments that may occur in the future, including in connection with competitors’ therapies, could result in a decrease in demand for our product candidate. These events could also result in the suspension, discontinuation, or clinical hold of, or modifications to, our clinical trials. Our product candidate may not be accepted by the general public or the medical community and potential clinical trial subjects may be discouraged from enrolling in our clinical trials or early terminated from the clinical trials. As a result, we may not be able to continue, or may be delayed in conducting, our development programs.</w:t>
      </w:r>
    </w:p>
    <w:p>
      <w:pPr>
        <w:spacing w:after="0" w:line="202"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16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in human clinical trials of our product candidates and will face an even greater risk if we commercially sell any products that we may develop.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20" w:right="1440" w:bottom="175" w:gutter="0" w:footer="0" w:header="0"/>
        </w:sectPr>
      </w:pPr>
    </w:p>
    <w:bookmarkStart w:id="43" w:name="page44"/>
    <w:bookmarkEnd w:id="43"/>
    <w:p>
      <w:pPr>
        <w:ind w:right="140"/>
        <w:spacing w:after="0" w:line="252" w:lineRule="auto"/>
        <w:rPr>
          <w:sz w:val="20"/>
          <w:szCs w:val="20"/>
          <w:color w:val="auto"/>
        </w:rPr>
      </w:pPr>
      <w:r>
        <w:rPr>
          <w:rFonts w:ascii="Times New Roman" w:cs="Times New Roman" w:eastAsia="Times New Roman" w:hAnsi="Times New Roman"/>
          <w:sz w:val="20"/>
          <w:szCs w:val="20"/>
          <w:color w:val="auto"/>
        </w:rPr>
        <w:t>product, negligence, strict liability or a breach of warranties. Claims could also be asserted under state consumer protection acts. If we cannot successfully defend ourselves against claims that our product candidates or products caused injuries, we could incur substantial liabilities. Regardless of merit or eventual outcome, liability claims may result in:</w:t>
      </w:r>
    </w:p>
    <w:p>
      <w:pPr>
        <w:spacing w:after="0" w:line="88" w:lineRule="exact"/>
        <w:rPr>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significant time and costs to defend the related litigation;</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substantial monetary awards to trial participants or patients; and</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loss of revenue.</w:t>
      </w:r>
    </w:p>
    <w:p>
      <w:pPr>
        <w:spacing w:after="0" w:line="225"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Insurance coverage is also increasingly expensive and we may not be able to maintain insurance coverage at a reasonable cost or in an amount adequate to satisfy any liability that may arise.</w:t>
      </w:r>
    </w:p>
    <w:p>
      <w:pPr>
        <w:spacing w:after="0" w:line="169"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Fusion protein therapies are novel, complex and difficult to manufacture. We could experience manufacturing problems that result in delays in the development or commercialization of telitacicept or other product candidates or otherwise harm our business.</w:t>
      </w:r>
    </w:p>
    <w:p>
      <w:pPr>
        <w:spacing w:after="0" w:line="18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manufacture of fusion proteins, such as telitacicept, is technically complex and necessitates substantial expertise and capital investment. Production difficulties caused by unforeseen events may delay the availability of material for clinical trials and commercial products for telitacicept, if approved, or any fusion protein product that we may develop in the future. Additionally, because biologic products are complex, the manufacture of such product candidates is more difficult and costly. We may not be able to have such products reliably manufactured in accordance with the applicable regulatory requirements in sufficient quantities to support our development programs and, if ultimately approved, commercial supply.</w:t>
      </w:r>
    </w:p>
    <w:p>
      <w:pPr>
        <w:spacing w:after="0" w:line="199"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20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The manufacturers of biologic products must comply with strictly enforced cGMP requirements, state and federal regulations, as well as foreign requirements when applicable. Any failure by us or our contract manufacturing organizations to adhere to or document compliance with such regulatory requirements could lead to a delay or interruption in the availability of drug product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205" w:lineRule="exact"/>
        <w:rPr>
          <w:sz w:val="20"/>
          <w:szCs w:val="20"/>
          <w:color w:val="auto"/>
        </w:rPr>
      </w:pPr>
    </w:p>
    <w:p>
      <w:pPr>
        <w:jc w:val="both"/>
        <w:ind w:right="100" w:firstLine="490"/>
        <w:spacing w:after="0" w:line="259" w:lineRule="auto"/>
        <w:rPr>
          <w:sz w:val="20"/>
          <w:szCs w:val="20"/>
          <w:color w:val="auto"/>
        </w:rPr>
      </w:pPr>
      <w:r>
        <w:rPr>
          <w:rFonts w:ascii="Times New Roman" w:cs="Times New Roman" w:eastAsia="Times New Roman" w:hAnsi="Times New Roman"/>
          <w:sz w:val="20"/>
          <w:szCs w:val="20"/>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20" w:right="1440" w:bottom="175" w:gutter="0" w:footer="0" w:header="0"/>
        </w:sectPr>
      </w:pPr>
    </w:p>
    <w:bookmarkStart w:id="44" w:name="page45"/>
    <w:bookmarkEnd w:id="44"/>
    <w:p>
      <w:pPr>
        <w:spacing w:after="0" w:line="21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or any contract manufacturers and suppliers that we engage fail to comply with environmental, health and safety laws and regulations, we could become subject to fines or penalties or incur costs that could have a material adverse effect on the success of our business.</w:t>
      </w:r>
    </w:p>
    <w:p>
      <w:pPr>
        <w:spacing w:after="0" w:line="185"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Compliance with applicable environmental laws and regulations may be expensive, and current or future environmental laws and regulations may impair our product development and research efforts. In addition, we cannot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20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In addition, we may incur substantial costs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97"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Review</w:t>
      </w:r>
    </w:p>
    <w:p>
      <w:pPr>
        <w:spacing w:after="0" w:line="23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clinical trials of any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93"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our product candidates, we must complete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200" w:lineRule="exact"/>
        <w:rPr>
          <w:sz w:val="20"/>
          <w:szCs w:val="20"/>
          <w:color w:val="auto"/>
        </w:rPr>
      </w:pPr>
    </w:p>
    <w:p>
      <w:pPr>
        <w:jc w:val="both"/>
        <w:ind w:right="380" w:firstLine="490"/>
        <w:spacing w:after="0" w:line="259" w:lineRule="auto"/>
        <w:rPr>
          <w:sz w:val="20"/>
          <w:szCs w:val="20"/>
          <w:color w:val="auto"/>
        </w:rPr>
      </w:pPr>
      <w:r>
        <w:rPr>
          <w:rFonts w:ascii="Times New Roman" w:cs="Times New Roman" w:eastAsia="Times New Roman" w:hAnsi="Times New Roman"/>
          <w:sz w:val="20"/>
          <w:szCs w:val="20"/>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40" w:right="1440" w:bottom="175" w:gutter="0" w:footer="0" w:header="0"/>
        </w:sectPr>
      </w:pPr>
    </w:p>
    <w:bookmarkStart w:id="45" w:name="page46"/>
    <w:bookmarkEnd w:id="45"/>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We and our collaborators, if any, may experience numerous unforeseen events during, or as a result of, clinical trials that could delay or prevent our ability to receive marketing approval or commercialize any product candidates, including:</w:t>
      </w:r>
    </w:p>
    <w:p>
      <w:pPr>
        <w:spacing w:after="0" w:line="83" w:lineRule="exact"/>
        <w:rPr>
          <w:sz w:val="20"/>
          <w:szCs w:val="20"/>
          <w:color w:val="auto"/>
        </w:rPr>
      </w:pPr>
    </w:p>
    <w:p>
      <w:pPr>
        <w:ind w:left="980" w:right="60" w:hanging="492"/>
        <w:spacing w:after="0" w:line="261"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in reaching a consensus with regulators on clinical development plans, trial designs or regulatory approval data packages;</w:t>
      </w:r>
    </w:p>
    <w:p>
      <w:pPr>
        <w:spacing w:after="0" w:line="77" w:lineRule="exact"/>
        <w:rPr>
          <w:rFonts w:ascii="Symbol" w:cs="Symbol" w:eastAsia="Symbol" w:hAnsi="Symbol"/>
          <w:sz w:val="20"/>
          <w:szCs w:val="20"/>
          <w:color w:val="auto"/>
        </w:rPr>
      </w:pPr>
    </w:p>
    <w:p>
      <w:pPr>
        <w:ind w:left="980" w:right="80" w:hanging="492"/>
        <w:spacing w:after="0" w:line="261"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regulators, IRBs, independent ethics committees or scientific review boards may not authorize us or our investigators to commence a clinical trial or conduct a clinical trial at a prospective trial site;</w:t>
      </w:r>
    </w:p>
    <w:p>
      <w:pPr>
        <w:spacing w:after="0" w:line="77" w:lineRule="exact"/>
        <w:rPr>
          <w:rFonts w:ascii="Symbol" w:cs="Symbol" w:eastAsia="Symbol" w:hAnsi="Symbol"/>
          <w:sz w:val="20"/>
          <w:szCs w:val="20"/>
          <w:color w:val="auto"/>
        </w:rPr>
      </w:pPr>
    </w:p>
    <w:p>
      <w:pPr>
        <w:ind w:left="980" w:right="420" w:hanging="492"/>
        <w:spacing w:after="0" w:line="262"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in reaching or failing to reach agreement on acceptable clinical trial contracts or clinical trial protocols with prospective CROs, and clinical trial sites;</w:t>
      </w:r>
    </w:p>
    <w:p>
      <w:pPr>
        <w:spacing w:after="0" w:line="75" w:lineRule="exact"/>
        <w:rPr>
          <w:rFonts w:ascii="Symbol" w:cs="Symbol" w:eastAsia="Symbol" w:hAnsi="Symbol"/>
          <w:sz w:val="20"/>
          <w:szCs w:val="20"/>
          <w:color w:val="auto"/>
        </w:rPr>
      </w:pPr>
    </w:p>
    <w:p>
      <w:pPr>
        <w:ind w:left="980" w:hanging="492"/>
        <w:spacing w:after="0" w:line="251"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trials of product candidates may produce negative or inconclusive results, and we may decide, or regulators may require us, to conduct additional clinical trials or abandon product development or research programs;</w:t>
      </w:r>
    </w:p>
    <w:p>
      <w:pPr>
        <w:spacing w:after="0" w:line="87" w:lineRule="exact"/>
        <w:rPr>
          <w:rFonts w:ascii="Symbol" w:cs="Symbol" w:eastAsia="Symbol" w:hAnsi="Symbol"/>
          <w:sz w:val="20"/>
          <w:szCs w:val="20"/>
          <w:color w:val="auto"/>
        </w:rPr>
      </w:pPr>
    </w:p>
    <w:p>
      <w:pPr>
        <w:ind w:left="980" w:right="160" w:hanging="492"/>
        <w:spacing w:after="0" w:line="262"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difficulty in designing well-controlled clinical trials due to ethical considerations which may render it inappropriate to conduct a trial with a control arm that can be effectively compared to a treatment arm;</w:t>
      </w:r>
    </w:p>
    <w:p>
      <w:pPr>
        <w:spacing w:after="0" w:line="76" w:lineRule="exact"/>
        <w:rPr>
          <w:rFonts w:ascii="Symbol" w:cs="Symbol" w:eastAsia="Symbol" w:hAnsi="Symbol"/>
          <w:sz w:val="20"/>
          <w:szCs w:val="20"/>
          <w:color w:val="auto"/>
        </w:rPr>
      </w:pPr>
    </w:p>
    <w:p>
      <w:pPr>
        <w:ind w:left="980" w:right="40" w:hanging="492"/>
        <w:spacing w:after="0" w:line="261"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difficulty in designing clinical trials and selecting endpoints for diseases that have not been well-studied and for which the natural history and course of the disease is poorly understood;</w:t>
      </w:r>
    </w:p>
    <w:p>
      <w:pPr>
        <w:spacing w:after="0" w:line="77" w:lineRule="exact"/>
        <w:rPr>
          <w:rFonts w:ascii="Symbol" w:cs="Symbol" w:eastAsia="Symbol" w:hAnsi="Symbol"/>
          <w:sz w:val="20"/>
          <w:szCs w:val="20"/>
          <w:color w:val="auto"/>
        </w:rPr>
      </w:pPr>
    </w:p>
    <w:p>
      <w:pPr>
        <w:ind w:left="980" w:right="100" w:hanging="492"/>
        <w:spacing w:after="0" w:line="247"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patients required for clinical trials may be larger than we anticipate; enrollment of suitable participants in these clinical trials, which may be particularly challenging for some of the rare diseases we are targeting in our most advanced programs, may be delayed or slower than we anticipate; or patients may drop out of these clinical trials at a higher rate than we anticipate;</w:t>
      </w:r>
    </w:p>
    <w:p>
      <w:pPr>
        <w:spacing w:after="0" w:line="91" w:lineRule="exact"/>
        <w:rPr>
          <w:rFonts w:ascii="Symbol" w:cs="Symbol" w:eastAsia="Symbol" w:hAnsi="Symbol"/>
          <w:sz w:val="20"/>
          <w:szCs w:val="20"/>
          <w:color w:val="auto"/>
        </w:rPr>
      </w:pPr>
    </w:p>
    <w:p>
      <w:pPr>
        <w:ind w:left="980" w:right="320" w:hanging="492"/>
        <w:spacing w:after="0" w:line="262"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meet their contractual obligations to us in a timely manner, or at all;</w:t>
      </w:r>
    </w:p>
    <w:p>
      <w:pPr>
        <w:spacing w:after="0" w:line="76" w:lineRule="exact"/>
        <w:rPr>
          <w:rFonts w:ascii="Symbol" w:cs="Symbol" w:eastAsia="Symbol" w:hAnsi="Symbol"/>
          <w:sz w:val="20"/>
          <w:szCs w:val="20"/>
          <w:color w:val="auto"/>
        </w:rPr>
      </w:pPr>
    </w:p>
    <w:p>
      <w:pPr>
        <w:ind w:left="980" w:right="60" w:hanging="492"/>
        <w:spacing w:after="0" w:line="245"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regulators, IRBs or independent ethics committees may require that we or our investigators suspend or terminate clinical research or clinical trials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94" w:lineRule="exact"/>
        <w:rPr>
          <w:rFonts w:ascii="Symbol" w:cs="Symbol" w:eastAsia="Symbol" w:hAnsi="Symbol"/>
          <w:sz w:val="20"/>
          <w:szCs w:val="20"/>
          <w:color w:val="auto"/>
        </w:rPr>
      </w:pPr>
    </w:p>
    <w:p>
      <w:pPr>
        <w:ind w:left="980" w:hanging="492"/>
        <w:spacing w:after="0"/>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clinical trials may be greater than we anticipate;</w:t>
      </w:r>
    </w:p>
    <w:p>
      <w:pPr>
        <w:spacing w:after="0" w:line="118" w:lineRule="exact"/>
        <w:rPr>
          <w:rFonts w:ascii="Symbol" w:cs="Symbol" w:eastAsia="Symbol" w:hAnsi="Symbol"/>
          <w:sz w:val="20"/>
          <w:szCs w:val="20"/>
          <w:color w:val="auto"/>
        </w:rPr>
      </w:pPr>
    </w:p>
    <w:p>
      <w:pPr>
        <w:ind w:left="980" w:right="60" w:hanging="492"/>
        <w:spacing w:after="0" w:line="247"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supply or quality of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92" w:lineRule="exact"/>
        <w:rPr>
          <w:rFonts w:ascii="Symbol" w:cs="Symbol" w:eastAsia="Symbol" w:hAnsi="Symbol"/>
          <w:sz w:val="20"/>
          <w:szCs w:val="20"/>
          <w:color w:val="auto"/>
        </w:rPr>
      </w:pPr>
    </w:p>
    <w:p>
      <w:pPr>
        <w:ind w:left="980" w:hanging="492"/>
        <w:spacing w:after="0"/>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in having patients complete participation in a trial or return for post-treatment follow-up;</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clinical trial sites dropping out of a trial;</w:t>
      </w:r>
    </w:p>
    <w:p>
      <w:pPr>
        <w:spacing w:after="0" w:line="118" w:lineRule="exact"/>
        <w:rPr>
          <w:rFonts w:ascii="Symbol" w:cs="Symbol" w:eastAsia="Symbol" w:hAnsi="Symbol"/>
          <w:sz w:val="20"/>
          <w:szCs w:val="20"/>
          <w:color w:val="auto"/>
        </w:rPr>
      </w:pPr>
    </w:p>
    <w:p>
      <w:pPr>
        <w:ind w:left="980" w:right="260" w:hanging="492"/>
        <w:spacing w:after="0" w:line="262"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selection of clinical endpoints that require prolonged periods of clinical observation or analysis of the resulting data;</w:t>
      </w:r>
    </w:p>
    <w:p>
      <w:pPr>
        <w:spacing w:after="0" w:line="76" w:lineRule="exact"/>
        <w:rPr>
          <w:rFonts w:ascii="Symbol" w:cs="Symbol" w:eastAsia="Symbol" w:hAnsi="Symbol"/>
          <w:sz w:val="20"/>
          <w:szCs w:val="20"/>
          <w:color w:val="auto"/>
        </w:rPr>
      </w:pPr>
    </w:p>
    <w:p>
      <w:pPr>
        <w:ind w:left="980" w:right="340" w:hanging="492"/>
        <w:spacing w:after="0" w:line="261"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occurrence of serious adverse events associated with product candidates that are viewed to outweigh their potential benefits;</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occurrence of serious adverse events in trials of the same class of agents conducted by other sponsors;</w:t>
      </w:r>
    </w:p>
    <w:p>
      <w:pPr>
        <w:spacing w:after="0" w:line="118" w:lineRule="exact"/>
        <w:rPr>
          <w:rFonts w:ascii="Symbol" w:cs="Symbol" w:eastAsia="Symbol" w:hAnsi="Symbol"/>
          <w:sz w:val="20"/>
          <w:szCs w:val="20"/>
          <w:color w:val="auto"/>
        </w:rPr>
      </w:pPr>
    </w:p>
    <w:p>
      <w:pPr>
        <w:ind w:left="980" w:right="500" w:hanging="492"/>
        <w:spacing w:after="0" w:line="262" w:lineRule="auto"/>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disruption in the supply or availability of drug product; and</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3"/>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standard of care treatment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0" w:right="1440" w:bottom="175" w:gutter="0" w:footer="0" w:header="0"/>
        </w:sectPr>
      </w:pPr>
    </w:p>
    <w:bookmarkStart w:id="46" w:name="page47"/>
    <w:bookmarkEnd w:id="46"/>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If we or our collaborators are required to conduct additional clinical trials or other testing of product candidates beyond those that we currently contemplate, if we or our collaborators are unable to successfully complete clinical trials or other testing of product candidates, or if the results of these trials or tests are not positive or are only modestly positive or if there are safety concerns, we or our collaborators may:</w:t>
      </w:r>
    </w:p>
    <w:p>
      <w:pPr>
        <w:spacing w:after="0" w:line="88" w:lineRule="exact"/>
        <w:rPr>
          <w:sz w:val="20"/>
          <w:szCs w:val="20"/>
          <w:color w:val="auto"/>
        </w:rPr>
      </w:pPr>
    </w:p>
    <w:p>
      <w:pPr>
        <w:ind w:left="980" w:right="380" w:hanging="492"/>
        <w:spacing w:after="0" w:line="262" w:lineRule="auto"/>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be delayed in obtaining marketing approval for any such product candidates or not obtain marketing approval at all;</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119" w:lineRule="exact"/>
        <w:rPr>
          <w:rFonts w:ascii="Symbol" w:cs="Symbol" w:eastAsia="Symbol" w:hAnsi="Symbol"/>
          <w:sz w:val="20"/>
          <w:szCs w:val="20"/>
          <w:color w:val="auto"/>
        </w:rPr>
      </w:pPr>
    </w:p>
    <w:p>
      <w:pPr>
        <w:ind w:left="980" w:right="40" w:hanging="492"/>
        <w:spacing w:after="0" w:line="262" w:lineRule="auto"/>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 including boxed warnings;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be subject to changes in the way the product is administered;</w:t>
      </w:r>
    </w:p>
    <w:p>
      <w:pPr>
        <w:spacing w:after="0" w:line="119" w:lineRule="exact"/>
        <w:rPr>
          <w:rFonts w:ascii="Symbol" w:cs="Symbol" w:eastAsia="Symbol" w:hAnsi="Symbol"/>
          <w:sz w:val="20"/>
          <w:szCs w:val="20"/>
          <w:color w:val="auto"/>
        </w:rPr>
      </w:pPr>
    </w:p>
    <w:p>
      <w:pPr>
        <w:ind w:left="980" w:right="460" w:hanging="492"/>
        <w:spacing w:after="0" w:line="262" w:lineRule="auto"/>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be required to perform additional clinical trials to support approval or be subject to additional post-marketing testing requirements;</w:t>
      </w:r>
    </w:p>
    <w:p>
      <w:pPr>
        <w:spacing w:after="0" w:line="75" w:lineRule="exact"/>
        <w:rPr>
          <w:rFonts w:ascii="Symbol" w:cs="Symbol" w:eastAsia="Symbol" w:hAnsi="Symbol"/>
          <w:sz w:val="20"/>
          <w:szCs w:val="20"/>
          <w:color w:val="auto"/>
        </w:rPr>
      </w:pPr>
    </w:p>
    <w:p>
      <w:pPr>
        <w:ind w:left="980" w:right="140" w:hanging="492"/>
        <w:spacing w:after="0" w:line="262" w:lineRule="auto"/>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have regulatory authorities withdraw or suspend their approval of the product or impose restrictions on its distribution in the form of a REMS or through modification to an existing REMS;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be sued; or</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4"/>
        </w:numPr>
        <w:rPr>
          <w:rFonts w:ascii="Symbol" w:cs="Symbol" w:eastAsia="Symbol" w:hAnsi="Symbol"/>
          <w:sz w:val="20"/>
          <w:szCs w:val="20"/>
          <w:color w:val="auto"/>
        </w:rPr>
      </w:pPr>
      <w:r>
        <w:rPr>
          <w:rFonts w:ascii="Times New Roman" w:cs="Times New Roman" w:eastAsia="Times New Roman" w:hAnsi="Times New Roman"/>
          <w:sz w:val="20"/>
          <w:szCs w:val="20"/>
          <w:color w:val="auto"/>
        </w:rPr>
        <w:t>experience damage to our reputation.</w:t>
      </w:r>
    </w:p>
    <w:p>
      <w:pPr>
        <w:spacing w:after="0" w:line="225"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product candidates, could allow our competitors to bring products to market before we do and could impair our ability to successfully commercialize product candidates, any of which may harm our business, financial condition, results of operations and prospects.</w:t>
      </w:r>
    </w:p>
    <w:p>
      <w:pPr>
        <w:spacing w:after="0" w:line="18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clinical trials, we cannot predict when, or if, we will obtain regulatory approval to commercialize telitacicept or any other product candidate we may develop in the United States or any other jurisdiction, and any such approval may be for a more narrow indication than we seek.</w:t>
      </w:r>
    </w:p>
    <w:p>
      <w:pPr>
        <w:spacing w:after="0" w:line="185"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20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spacing w:after="0" w:line="201" w:lineRule="exact"/>
        <w:rPr>
          <w:sz w:val="20"/>
          <w:szCs w:val="20"/>
          <w:color w:val="auto"/>
        </w:rPr>
      </w:pPr>
    </w:p>
    <w:p>
      <w:pPr>
        <w:ind w:right="100" w:firstLine="490"/>
        <w:spacing w:after="0" w:line="263" w:lineRule="auto"/>
        <w:rPr>
          <w:sz w:val="20"/>
          <w:szCs w:val="20"/>
          <w:color w:val="auto"/>
        </w:rPr>
      </w:pPr>
      <w:r>
        <w:rPr>
          <w:rFonts w:ascii="Times New Roman" w:cs="Times New Roman" w:eastAsia="Times New Roman" w:hAnsi="Times New Roman"/>
          <w:sz w:val="19"/>
          <w:szCs w:val="19"/>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0" w:right="1440" w:bottom="175" w:gutter="0" w:footer="0" w:header="0"/>
        </w:sectPr>
      </w:pPr>
    </w:p>
    <w:bookmarkStart w:id="47" w:name="page48"/>
    <w:bookmarkEnd w:id="47"/>
    <w:p>
      <w:pPr>
        <w:ind w:right="40"/>
        <w:spacing w:after="0" w:line="245" w:lineRule="auto"/>
        <w:rPr>
          <w:sz w:val="20"/>
          <w:szCs w:val="20"/>
          <w:color w:val="auto"/>
        </w:rPr>
      </w:pPr>
      <w:r>
        <w:rPr>
          <w:rFonts w:ascii="Times New Roman" w:cs="Times New Roman" w:eastAsia="Times New Roman" w:hAnsi="Times New Roman"/>
          <w:sz w:val="20"/>
          <w:szCs w:val="20"/>
          <w:color w:val="auto"/>
        </w:rPr>
        <w:t>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9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experience significant delays or difficulties in the enrollment or retention of patients in clinical trials, the cost of developing product candidates could increase and our receipt of necessary regulatory approvals could be delayed or prevented.</w:t>
      </w:r>
    </w:p>
    <w:p>
      <w:pPr>
        <w:spacing w:after="0" w:line="18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Patient enrollment is a significant factor in the timing of clinical trials. The timing of our clinical trials depends, in part, on the speed at which we can recruit patients to participate in our trials. We or our collaborators may not be able to advance clinical trials for our product candidates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Patients may be unwilling to participate in our clinical trials because of negative publicity from adverse events related to the biotechnology field, RemeGen’s telitacicept products or clinical trials, competitive clinical trials for similar patient populations, clinical trials in competing products or for other reasons. As a result, the timeline for recruiting patients, conducting trials and obtaining regulatory approval of product candidates could be delayed. In addition, if an unexpected number of patients drop out from a trial early, it would negatively impact the integrity of the trial results.</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Patient enrollment and retention is also affected by other factors, including:</w:t>
      </w:r>
    </w:p>
    <w:p>
      <w:pPr>
        <w:spacing w:after="0" w:line="134" w:lineRule="exact"/>
        <w:rPr>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size of the patient population and process for identifying patients;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design of the trial protocol;</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ability to obtain and maintain patient informed consent;</w:t>
      </w:r>
    </w:p>
    <w:p>
      <w:pPr>
        <w:spacing w:after="0" w:line="119" w:lineRule="exact"/>
        <w:rPr>
          <w:rFonts w:ascii="Symbol" w:cs="Symbol" w:eastAsia="Symbol" w:hAnsi="Symbol"/>
          <w:sz w:val="20"/>
          <w:szCs w:val="20"/>
          <w:color w:val="auto"/>
        </w:rPr>
      </w:pPr>
    </w:p>
    <w:p>
      <w:pPr>
        <w:ind w:left="980" w:right="300" w:hanging="492"/>
        <w:spacing w:after="0" w:line="261" w:lineRule="auto"/>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risk that enrolled patients will drop out before completion of the trial, including due to side effects or characteristics that are unrelated to our product candidate;</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eligibility and exclusion criteria for the trial in question;</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perceived risks and benefits of the product candidate under trial;</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efforts to facilitate timely enrollment in clinical trials;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ability to monitor patients adequately during and after treatment;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new therapies that are or become approved and available to the same patient population; and</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standard of care treatment guidelines.</w:t>
      </w:r>
    </w:p>
    <w:p>
      <w:pPr>
        <w:spacing w:after="0" w:line="22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Significant enrollment delays or poor patient retention in our clinical trials may result in increased development costs for our product candidates, which would cause the value of our company to decline and limit our ability to obtain additional financing. If we or our collaborators have difficulty enrolling a sufficient number of patients to conduct our clinical trials as planned, or have difficulty retaining patients, we may need to delay, limit or terminate ongoing or planned clinical trials, any of which would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20" w:right="1440" w:bottom="175" w:gutter="0" w:footer="0" w:header="0"/>
        </w:sectPr>
      </w:pPr>
    </w:p>
    <w:bookmarkStart w:id="48" w:name="page49"/>
    <w:bookmarkEnd w:id="48"/>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Relationships with Third Parties</w:t>
      </w:r>
    </w:p>
    <w:p>
      <w:pPr>
        <w:spacing w:after="0" w:line="235"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and those third parties may not perform satisfactorily, including failing to meet deadlines for the completion of such trials, research or testing.</w:t>
      </w:r>
    </w:p>
    <w:p>
      <w:pPr>
        <w:spacing w:after="0" w:line="16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We rely on third parties, such as CROs, clinical data management organizations, and clinical investigators, to conduct our clinical trials. Any of these third parties may terminate their engagements with us at any time under certain criteria. If we need to enter into alternative arrangements, it may delay our product development activities.</w:t>
      </w:r>
    </w:p>
    <w:p>
      <w:pPr>
        <w:spacing w:after="0" w:line="18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Our reliance on these third parties for clinical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Although we intend to design the future clinical trials for our product candidates, CROs will conduct some or all of the clinical trials. As a result, many important aspects of our development programs,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4" w:lineRule="exact"/>
        <w:rPr>
          <w:sz w:val="20"/>
          <w:szCs w:val="20"/>
          <w:color w:val="auto"/>
        </w:rPr>
      </w:pPr>
    </w:p>
    <w:p>
      <w:pPr>
        <w:ind w:left="980" w:hanging="492"/>
        <w:spacing w:after="0"/>
        <w:tabs>
          <w:tab w:leader="none" w:pos="9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have staffing difficulties;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fail to comply with contractual obligations;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experience regulatory compliance issues;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undergo changes in priorities or become financially distressed; or</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color w:val="auto"/>
        </w:rPr>
        <w:t>form relationships with other entities, some of which may be our competitors.</w:t>
      </w:r>
    </w:p>
    <w:p>
      <w:pPr>
        <w:spacing w:after="0" w:line="225"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These factors may materially adversely affect the willingness or ability of third parties to conduct our clinical trials and may subject us to unexpected cost increases that are beyond our control. If the CROs and other third parties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40" w:right="1440" w:bottom="175" w:gutter="0" w:footer="0" w:header="0"/>
        </w:sectPr>
      </w:pPr>
    </w:p>
    <w:bookmarkStart w:id="49" w:name="page50"/>
    <w:bookmarkEnd w:id="49"/>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also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will continue to contract with third parties for the manufacture and supply of materials for development of our product candidates, advancement of our current and future clinical trials, and potential commercialization of our product candidates. This increases the risk that we will not have sufficient quantities and quality of such materials for the development of our product candidates, or that such supply will not be available to us at an acceptable cost, which could delay, prevent or impair our development or commercialization efforts.</w:t>
      </w:r>
    </w:p>
    <w:p>
      <w:pPr>
        <w:spacing w:after="0" w:line="197"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We will rely on third-party manufacturers, including certain single source suppliers, for the manufacture and supply of materials for development of our product candidates and advancement of our current clinical trial, and expect to continue to do so for future clinical testing and for commercial supply of our product candidates for which we or any future collaborators obtain marketing approval. We do not have a long-term agreement with many of these third-party manufacturers or suppliers. We may be unable to establish any agreements with third-party manufacturers or suppliers or to do so on acceptable terms. Even if we are able to establish agreements with third-party manufacturers or suppliers, reliance on third-party manufacturers entails additional risks, including:</w:t>
      </w:r>
    </w:p>
    <w:p>
      <w:pPr>
        <w:spacing w:after="0" w:line="95" w:lineRule="exact"/>
        <w:rPr>
          <w:sz w:val="20"/>
          <w:szCs w:val="20"/>
          <w:color w:val="auto"/>
        </w:rPr>
      </w:pPr>
    </w:p>
    <w:p>
      <w:pPr>
        <w:ind w:left="980" w:hanging="492"/>
        <w:spacing w:after="0"/>
        <w:tabs>
          <w:tab w:leader="none" w:pos="98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breach of the manufacturing or supply agreement by the third party;</w:t>
      </w:r>
    </w:p>
    <w:p>
      <w:pPr>
        <w:spacing w:after="0" w:line="118" w:lineRule="exact"/>
        <w:rPr>
          <w:rFonts w:ascii="Symbol" w:cs="Symbol" w:eastAsia="Symbol" w:hAnsi="Symbol"/>
          <w:sz w:val="20"/>
          <w:szCs w:val="20"/>
          <w:color w:val="auto"/>
        </w:rPr>
      </w:pPr>
    </w:p>
    <w:p>
      <w:pPr>
        <w:ind w:left="980" w:right="420" w:hanging="492"/>
        <w:spacing w:after="0" w:line="262" w:lineRule="auto"/>
        <w:tabs>
          <w:tab w:leader="none" w:pos="98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 and</w:t>
      </w:r>
    </w:p>
    <w:p>
      <w:pPr>
        <w:spacing w:after="0" w:line="76" w:lineRule="exact"/>
        <w:rPr>
          <w:rFonts w:ascii="Symbol" w:cs="Symbol" w:eastAsia="Symbol" w:hAnsi="Symbol"/>
          <w:sz w:val="20"/>
          <w:szCs w:val="20"/>
          <w:color w:val="auto"/>
        </w:rPr>
      </w:pPr>
    </w:p>
    <w:p>
      <w:pPr>
        <w:ind w:left="980" w:right="220" w:hanging="492"/>
        <w:spacing w:after="0" w:line="261" w:lineRule="auto"/>
        <w:tabs>
          <w:tab w:leader="none" w:pos="980" w:val="left"/>
        </w:tabs>
        <w:numPr>
          <w:ilvl w:val="0"/>
          <w:numId w:val="37"/>
        </w:numPr>
        <w:rPr>
          <w:rFonts w:ascii="Symbol" w:cs="Symbol" w:eastAsia="Symbol" w:hAnsi="Symbol"/>
          <w:sz w:val="20"/>
          <w:szCs w:val="20"/>
          <w:color w:val="auto"/>
        </w:rPr>
      </w:pPr>
      <w:r>
        <w:rPr>
          <w:rFonts w:ascii="Times New Roman" w:cs="Times New Roman" w:eastAsia="Times New Roman" w:hAnsi="Times New Roman"/>
          <w:sz w:val="20"/>
          <w:szCs w:val="20"/>
          <w:color w:val="auto"/>
        </w:rPr>
        <w:t>reliance on the third party for regulatory compliance, quality assurance, safety and pharmacovigilance and related reporting.</w:t>
      </w:r>
    </w:p>
    <w:p>
      <w:pPr>
        <w:spacing w:after="0" w:line="183"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Third-party manufacturers may not be able to comply with cGMP regulations or similar regulatory requirements outside the United States. Our failure, or the failure of our third-party manufacturers or suppliers, to comply with applicable regulations could result in sanctions being imposed on us, including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and harm our business, financial condition, results of operations and prospects.</w:t>
      </w:r>
    </w:p>
    <w:p>
      <w:pPr>
        <w:spacing w:after="0" w:line="199"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auto"/>
        </w:rPr>
        <w:t>Our product candidates may compete with other product candidates and products for access to manufacturing facilities and other supplies. There are a limited number of manufacturers that operate under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spacing w:after="0" w:line="184"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or suppliers, or any decision by a manufacturer or supplier to remove its products from the market or restrict access to its products, could delay clinical development or marketing approval. Although we believe that there are several potential alternative manufacturers who could replace our contract manufacturers, we may incur added costs and delays in identifying and qualifying any such replacement.</w:t>
      </w:r>
    </w:p>
    <w:p>
      <w:pPr>
        <w:spacing w:after="0" w:line="19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our product candidates and the materials used in our clinical trials may adversely affect our future profit margins and our ability to commercialize any products that receive marketing approval on a timely and competitive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20" w:right="1440" w:bottom="175" w:gutter="0" w:footer="0" w:header="0"/>
        </w:sectPr>
      </w:pPr>
    </w:p>
    <w:bookmarkStart w:id="50" w:name="page51"/>
    <w:bookmarkEnd w:id="50"/>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and may enter into collaborations with third parties for the research, development and commercialization of our product candidates. If any such collaborations are not successful, we may not be able to capitalize on the market potential of those product candidates.</w:t>
      </w:r>
    </w:p>
    <w:p>
      <w:pPr>
        <w:spacing w:after="0" w:line="185"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have and may seek third-party collaborators for the research, development and commercialization of certain our product candidates. If we enter into any such arrangements with any third parties in the future, we will likely have limited control over the amount and timing of resources that our collaborators dedicate to the development or commercialization our product candidates. Our ability to generate revenues from these arrangements will depend on our collaborators’ abilities to successfully perform the functions assigned to them in these arrangements. We cannot predict the success of collaborations that we have entered into or may enter into in the future.</w:t>
      </w:r>
    </w:p>
    <w:p>
      <w:pPr>
        <w:spacing w:after="0" w:line="20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Collaborations involving our current or future product candidates or research programs pose numerous risks to us, including the following:</w:t>
      </w:r>
    </w:p>
    <w:p>
      <w:pPr>
        <w:spacing w:after="0" w:line="63" w:lineRule="exact"/>
        <w:rPr>
          <w:sz w:val="20"/>
          <w:szCs w:val="20"/>
          <w:color w:val="auto"/>
        </w:rPr>
      </w:pPr>
    </w:p>
    <w:p>
      <w:pPr>
        <w:ind w:left="980" w:right="100" w:hanging="492"/>
        <w:spacing w:after="0" w:line="262"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these collaborations.</w:t>
      </w:r>
    </w:p>
    <w:p>
      <w:pPr>
        <w:spacing w:after="0" w:line="75" w:lineRule="exact"/>
        <w:rPr>
          <w:rFonts w:ascii="Symbol" w:cs="Symbol" w:eastAsia="Symbol" w:hAnsi="Symbol"/>
          <w:sz w:val="20"/>
          <w:szCs w:val="20"/>
          <w:color w:val="auto"/>
        </w:rPr>
      </w:pPr>
    </w:p>
    <w:p>
      <w:pPr>
        <w:ind w:left="980" w:right="200" w:hanging="492"/>
        <w:spacing w:after="0" w:line="247"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2" w:lineRule="exact"/>
        <w:rPr>
          <w:rFonts w:ascii="Symbol" w:cs="Symbol" w:eastAsia="Symbol" w:hAnsi="Symbol"/>
          <w:sz w:val="20"/>
          <w:szCs w:val="20"/>
          <w:color w:val="auto"/>
        </w:rPr>
      </w:pPr>
    </w:p>
    <w:p>
      <w:pPr>
        <w:ind w:left="980" w:right="240" w:hanging="492"/>
        <w:spacing w:after="0" w:line="250"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0" w:lineRule="exact"/>
        <w:rPr>
          <w:rFonts w:ascii="Symbol" w:cs="Symbol" w:eastAsia="Symbol" w:hAnsi="Symbol"/>
          <w:sz w:val="20"/>
          <w:szCs w:val="20"/>
          <w:color w:val="auto"/>
        </w:rPr>
      </w:pPr>
    </w:p>
    <w:p>
      <w:pPr>
        <w:ind w:left="980" w:right="40" w:hanging="492"/>
        <w:spacing w:after="0" w:line="247"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1" w:lineRule="exact"/>
        <w:rPr>
          <w:rFonts w:ascii="Symbol" w:cs="Symbol" w:eastAsia="Symbol" w:hAnsi="Symbol"/>
          <w:sz w:val="20"/>
          <w:szCs w:val="20"/>
          <w:color w:val="auto"/>
        </w:rPr>
      </w:pPr>
    </w:p>
    <w:p>
      <w:pPr>
        <w:ind w:left="980" w:right="80" w:hanging="492"/>
        <w:spacing w:after="0" w:line="262"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with marketing and distribution rights to one or more products may not commit sufficient resources to the marketing and distribution of such products.</w:t>
      </w:r>
    </w:p>
    <w:p>
      <w:pPr>
        <w:spacing w:after="0" w:line="76" w:lineRule="exact"/>
        <w:rPr>
          <w:rFonts w:ascii="Symbol" w:cs="Symbol" w:eastAsia="Symbol" w:hAnsi="Symbol"/>
          <w:sz w:val="20"/>
          <w:szCs w:val="20"/>
          <w:color w:val="auto"/>
        </w:rPr>
      </w:pPr>
    </w:p>
    <w:p>
      <w:pPr>
        <w:ind w:left="980" w:right="120" w:hanging="492"/>
        <w:spacing w:after="0" w:line="250"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90" w:lineRule="exact"/>
        <w:rPr>
          <w:rFonts w:ascii="Symbol" w:cs="Symbol" w:eastAsia="Symbol" w:hAnsi="Symbol"/>
          <w:sz w:val="20"/>
          <w:szCs w:val="20"/>
          <w:color w:val="auto"/>
        </w:rPr>
      </w:pPr>
    </w:p>
    <w:p>
      <w:pPr>
        <w:ind w:left="980" w:right="520" w:hanging="492"/>
        <w:spacing w:after="0" w:line="250"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88" w:lineRule="exact"/>
        <w:rPr>
          <w:rFonts w:ascii="Symbol" w:cs="Symbol" w:eastAsia="Symbol" w:hAnsi="Symbol"/>
          <w:sz w:val="20"/>
          <w:szCs w:val="20"/>
          <w:color w:val="auto"/>
        </w:rPr>
      </w:pPr>
    </w:p>
    <w:p>
      <w:pPr>
        <w:ind w:left="980" w:right="260" w:hanging="492"/>
        <w:spacing w:after="0" w:line="262"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lose certain valuable rights under circumstances identified in our collaborations, including if we undergo a change of control.</w:t>
      </w:r>
    </w:p>
    <w:p>
      <w:pPr>
        <w:spacing w:after="0" w:line="76" w:lineRule="exact"/>
        <w:rPr>
          <w:rFonts w:ascii="Symbol" w:cs="Symbol" w:eastAsia="Symbol" w:hAnsi="Symbol"/>
          <w:sz w:val="20"/>
          <w:szCs w:val="20"/>
          <w:color w:val="auto"/>
        </w:rPr>
      </w:pPr>
    </w:p>
    <w:p>
      <w:pPr>
        <w:ind w:left="980" w:right="560" w:hanging="492"/>
        <w:spacing w:after="0" w:line="261"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w:t>
      </w:r>
    </w:p>
    <w:p>
      <w:pPr>
        <w:spacing w:after="0" w:line="77" w:lineRule="exact"/>
        <w:rPr>
          <w:rFonts w:ascii="Symbol" w:cs="Symbol" w:eastAsia="Symbol" w:hAnsi="Symbol"/>
          <w:sz w:val="20"/>
          <w:szCs w:val="20"/>
          <w:color w:val="auto"/>
        </w:rPr>
      </w:pPr>
    </w:p>
    <w:p>
      <w:pPr>
        <w:ind w:left="980" w:right="220" w:hanging="492"/>
        <w:spacing w:after="0" w:line="247" w:lineRule="auto"/>
        <w:tabs>
          <w:tab w:leader="none" w:pos="980" w:val="left"/>
        </w:tabs>
        <w:numPr>
          <w:ilvl w:val="0"/>
          <w:numId w:val="38"/>
        </w:numPr>
        <w:rPr>
          <w:rFonts w:ascii="Symbol" w:cs="Symbol" w:eastAsia="Symbol" w:hAnsi="Symbol"/>
          <w:sz w:val="20"/>
          <w:szCs w:val="20"/>
          <w:color w:val="auto"/>
        </w:rPr>
      </w:pPr>
      <w:r>
        <w:rPr>
          <w:rFonts w:ascii="Times New Roman" w:cs="Times New Roman" w:eastAsia="Times New Roman" w:hAnsi="Times New Roman"/>
          <w:sz w:val="20"/>
          <w:szCs w:val="20"/>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98" w:lineRule="exact"/>
        <w:rPr>
          <w:sz w:val="20"/>
          <w:szCs w:val="20"/>
          <w:color w:val="auto"/>
        </w:rPr>
      </w:pPr>
    </w:p>
    <w:p>
      <w:pPr>
        <w:ind w:right="40" w:firstLine="490"/>
        <w:spacing w:after="0" w:line="265" w:lineRule="auto"/>
        <w:rPr>
          <w:sz w:val="20"/>
          <w:szCs w:val="20"/>
          <w:color w:val="auto"/>
        </w:rPr>
      </w:pPr>
      <w:r>
        <w:rPr>
          <w:rFonts w:ascii="Times New Roman" w:cs="Times New Roman" w:eastAsia="Times New Roman" w:hAnsi="Times New Roman"/>
          <w:sz w:val="19"/>
          <w:szCs w:val="19"/>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40" w:right="1440" w:bottom="175" w:gutter="0" w:footer="0" w:header="0"/>
        </w:sectPr>
      </w:pPr>
    </w:p>
    <w:bookmarkStart w:id="51" w:name="page52"/>
    <w:bookmarkEnd w:id="51"/>
    <w:p>
      <w:pPr>
        <w:ind w:right="240"/>
        <w:spacing w:after="0" w:line="252" w:lineRule="auto"/>
        <w:rPr>
          <w:sz w:val="20"/>
          <w:szCs w:val="20"/>
          <w:color w:val="auto"/>
        </w:rPr>
      </w:pPr>
      <w:r>
        <w:rPr>
          <w:rFonts w:ascii="Times New Roman" w:cs="Times New Roman" w:eastAsia="Times New Roman" w:hAnsi="Times New Roman"/>
          <w:sz w:val="20"/>
          <w:szCs w:val="20"/>
          <w:color w:val="auto"/>
        </w:rPr>
        <w:t>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“Risk Factors” section apply to the activities of our collaborators.</w:t>
      </w:r>
    </w:p>
    <w:p>
      <w:pPr>
        <w:spacing w:after="0" w:line="193"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our product candidates, we may not be able to realize the benefit of such transactions if we are unable to successfully integrate them with our existing operations and company culture.</w:t>
      </w:r>
    </w:p>
    <w:p>
      <w:pPr>
        <w:spacing w:after="0" w:line="192"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establish collaborations on commercially reasonable terms, we may have to alter our development and commercialization plans.</w:t>
      </w:r>
    </w:p>
    <w:p>
      <w:pPr>
        <w:spacing w:after="0" w:line="167"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Our product development and research programs and the potential commercialization of our product candidates will require substantial additional cash to fund expenses. For some of the product candidates, we may decide to collaborate with other pharmaceutical and biotechnology companies for the development and potential commercialization of those product candidates.</w:t>
      </w:r>
    </w:p>
    <w:p>
      <w:pPr>
        <w:spacing w:after="0" w:line="19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208"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4"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intellectual property licensed from third parties and termination of these licenses could result in the loss of significant rights, which would harm our business.</w:t>
      </w:r>
    </w:p>
    <w:p>
      <w:pPr>
        <w:spacing w:after="0" w:line="167"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auto"/>
        </w:rPr>
        <w:t>In June 2025, we entered into a license agreement with RemeGen granting us an exclusive (even as to RemeGen) license under RemeGen’s patents and know-how to exploit, develop and commercialize telitacicept in all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20" w:right="1440" w:bottom="175" w:gutter="0" w:footer="0" w:header="0"/>
        </w:sectPr>
      </w:pPr>
    </w:p>
    <w:bookmarkStart w:id="52" w:name="page53"/>
    <w:bookmarkEnd w:id="52"/>
    <w:p>
      <w:pPr>
        <w:ind w:right="180"/>
        <w:spacing w:after="0" w:line="277" w:lineRule="auto"/>
        <w:rPr>
          <w:sz w:val="20"/>
          <w:szCs w:val="20"/>
          <w:color w:val="auto"/>
        </w:rPr>
      </w:pPr>
      <w:r>
        <w:rPr>
          <w:rFonts w:ascii="Times New Roman" w:cs="Times New Roman" w:eastAsia="Times New Roman" w:hAnsi="Times New Roman"/>
          <w:sz w:val="20"/>
          <w:szCs w:val="20"/>
          <w:color w:val="auto"/>
        </w:rPr>
        <w:t>territories other than Greater China, with the right to grant sublicenses, and a non-exclusive license to manufacture the telitacicept worldwide for use in the licensed territory.</w:t>
      </w:r>
    </w:p>
    <w:p>
      <w:pPr>
        <w:spacing w:after="0" w:line="16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are dependent on the patents, know-how and proprietary technology licensed from RemeGen for the development and, if approved, commercialization of telitacicept. Any termination of this license, or a finding that such intellectual property lacks legal effect, could result in the loss of significant rights and could harm our ability to commercialize our product candidate.</w:t>
      </w:r>
    </w:p>
    <w:p>
      <w:pPr>
        <w:spacing w:after="0" w:line="19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RemeGen license agreement imposes certain obligations on us, and non-compliance with such obligations may result in termination of the license agreement or in legal and financial consequences. If RemeGen terminates the license agreement, we may not be able to develop, commercialize or sell our product candidate covered by the agreement. Such an occurrence could materially adversely affect the value of the product candidate being developed under the agreement or using rights granted under such agreement. Termination of our license agreement or reduction or elimination of our rights thereunder may result in our having to negotiate a new or reinstated agreement, which may not be available to us on equally favorable terms, or at all, which may mean we are unable to develop, commercialize or sell the affected product candidate or may cause us to lose our rights under the agreement.</w:t>
      </w:r>
    </w:p>
    <w:p>
      <w:pPr>
        <w:spacing w:after="0" w:line="20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addition, our licensors may make decisions in prosecuting, maintaining, enforcing and defending any licensed intellectual property rights, for example, any licensed patents or patent applications, that may not be in our best interest. Moreover, if our licensors take any action with respect to any licensed intellectual property rights, for example, any licensed patents or patent applications, that results in a successful challenge to the licensed intellectual property by a third party, such patents may be invalidated or held to be unenforceable, and we may lose our rights under such patents, which could materially harm our business.</w:t>
      </w:r>
    </w:p>
    <w:p>
      <w:pPr>
        <w:spacing w:after="0" w:line="20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Further, license agreements under which we license intellectual property from third parties are complex, and certain provisions in such agreements may be susceptible to multiple interpretations. Accordingly, disputes may arise between us and our licensors regarding intellectual property subject to a license agreement, including those relating to:</w:t>
      </w:r>
    </w:p>
    <w:p>
      <w:pPr>
        <w:spacing w:after="0" w:line="89" w:lineRule="exact"/>
        <w:rPr>
          <w:sz w:val="20"/>
          <w:szCs w:val="20"/>
          <w:color w:val="auto"/>
        </w:rPr>
      </w:pPr>
    </w:p>
    <w:p>
      <w:pPr>
        <w:ind w:left="980" w:hanging="492"/>
        <w:spacing w:after="0"/>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of rights, if any, granted under the license agreement and other interpretation-related issues;</w:t>
      </w:r>
    </w:p>
    <w:p>
      <w:pPr>
        <w:spacing w:after="0" w:line="118" w:lineRule="exact"/>
        <w:rPr>
          <w:rFonts w:ascii="Symbol" w:cs="Symbol" w:eastAsia="Symbol" w:hAnsi="Symbol"/>
          <w:sz w:val="20"/>
          <w:szCs w:val="20"/>
          <w:color w:val="auto"/>
        </w:rPr>
      </w:pPr>
    </w:p>
    <w:p>
      <w:pPr>
        <w:ind w:left="980" w:right="300" w:hanging="492"/>
        <w:spacing w:after="0" w:line="262" w:lineRule="auto"/>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license agreement;</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our licensor or its licensor had the right to grant the license agreement;</w:t>
      </w:r>
    </w:p>
    <w:p>
      <w:pPr>
        <w:spacing w:after="0" w:line="118" w:lineRule="exact"/>
        <w:rPr>
          <w:rFonts w:ascii="Symbol" w:cs="Symbol" w:eastAsia="Symbol" w:hAnsi="Symbol"/>
          <w:sz w:val="20"/>
          <w:szCs w:val="20"/>
          <w:color w:val="auto"/>
        </w:rPr>
      </w:pPr>
    </w:p>
    <w:p>
      <w:pPr>
        <w:ind w:left="980" w:right="200" w:hanging="492"/>
        <w:spacing w:after="0" w:line="262" w:lineRule="auto"/>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third parties are entitled to compensation or equitable relief, such as an injunction, for our use of the intellectual property without their authorization;</w:t>
      </w:r>
    </w:p>
    <w:p>
      <w:pPr>
        <w:spacing w:after="0" w:line="76" w:lineRule="exact"/>
        <w:rPr>
          <w:rFonts w:ascii="Symbol" w:cs="Symbol" w:eastAsia="Symbol" w:hAnsi="Symbol"/>
          <w:sz w:val="20"/>
          <w:szCs w:val="20"/>
          <w:color w:val="auto"/>
        </w:rPr>
      </w:pPr>
    </w:p>
    <w:p>
      <w:pPr>
        <w:ind w:left="980" w:right="860" w:hanging="492"/>
        <w:spacing w:after="0" w:line="261" w:lineRule="auto"/>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77" w:lineRule="exact"/>
        <w:rPr>
          <w:rFonts w:ascii="Symbol" w:cs="Symbol" w:eastAsia="Symbol" w:hAnsi="Symbol"/>
          <w:sz w:val="20"/>
          <w:szCs w:val="20"/>
          <w:color w:val="auto"/>
        </w:rPr>
      </w:pPr>
    </w:p>
    <w:p>
      <w:pPr>
        <w:ind w:left="980" w:right="400" w:hanging="492"/>
        <w:spacing w:after="0" w:line="262" w:lineRule="auto"/>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whether we are complying with our obligations with respect to the use of the licensed technology in relation to our development and commercialization of product candidates;</w:t>
      </w:r>
    </w:p>
    <w:p>
      <w:pPr>
        <w:spacing w:after="0" w:line="75" w:lineRule="exact"/>
        <w:rPr>
          <w:rFonts w:ascii="Symbol" w:cs="Symbol" w:eastAsia="Symbol" w:hAnsi="Symbol"/>
          <w:sz w:val="20"/>
          <w:szCs w:val="20"/>
          <w:color w:val="auto"/>
        </w:rPr>
      </w:pPr>
    </w:p>
    <w:p>
      <w:pPr>
        <w:ind w:left="980" w:right="280" w:hanging="492"/>
        <w:spacing w:after="0" w:line="262" w:lineRule="auto"/>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our involvement in the prosecution and enforcement of the licensed patents and our licensors’ overall patent prosecution and enforcement strategy;</w:t>
      </w:r>
    </w:p>
    <w:p>
      <w:pPr>
        <w:spacing w:after="0" w:line="75" w:lineRule="exact"/>
        <w:rPr>
          <w:rFonts w:ascii="Symbol" w:cs="Symbol" w:eastAsia="Symbol" w:hAnsi="Symbol"/>
          <w:sz w:val="20"/>
          <w:szCs w:val="20"/>
          <w:color w:val="auto"/>
        </w:rPr>
      </w:pPr>
    </w:p>
    <w:p>
      <w:pPr>
        <w:ind w:left="980" w:right="500" w:hanging="492"/>
        <w:spacing w:after="0" w:line="262" w:lineRule="auto"/>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allocation of ownership of inventions and know-how resulting from the joint creation or use of intellectual property by our licensors and by us and any future partners or collaborators; and</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amounts of royalties, milestones or other payments due under the license agreement.</w:t>
      </w:r>
    </w:p>
    <w:p>
      <w:pPr>
        <w:spacing w:after="0" w:line="224"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20" w:right="1440" w:bottom="175" w:gutter="0" w:footer="0" w:header="0"/>
        </w:sectPr>
      </w:pPr>
    </w:p>
    <w:bookmarkStart w:id="53" w:name="page54"/>
    <w:bookmarkEnd w:id="53"/>
    <w:p>
      <w:pPr>
        <w:ind w:right="120" w:firstLine="490"/>
        <w:spacing w:after="0" w:line="278" w:lineRule="auto"/>
        <w:rPr>
          <w:sz w:val="20"/>
          <w:szCs w:val="20"/>
          <w:color w:val="auto"/>
        </w:rPr>
      </w:pPr>
      <w:r>
        <w:rPr>
          <w:rFonts w:ascii="Times New Roman" w:cs="Times New Roman" w:eastAsia="Times New Roman" w:hAnsi="Times New Roman"/>
          <w:sz w:val="19"/>
          <w:szCs w:val="19"/>
          <w:color w:val="auto"/>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w:t>
      </w:r>
    </w:p>
    <w:p>
      <w:pPr>
        <w:spacing w:after="0" w:line="171" w:lineRule="exact"/>
        <w:rPr>
          <w:sz w:val="20"/>
          <w:szCs w:val="20"/>
          <w:color w:val="auto"/>
        </w:rPr>
      </w:pPr>
    </w:p>
    <w:p>
      <w:pPr>
        <w:jc w:val="both"/>
        <w:ind w:right="200" w:firstLine="490"/>
        <w:spacing w:after="0" w:line="278" w:lineRule="auto"/>
        <w:rPr>
          <w:sz w:val="20"/>
          <w:szCs w:val="20"/>
          <w:color w:val="auto"/>
        </w:rPr>
      </w:pPr>
      <w:r>
        <w:rPr>
          <w:rFonts w:ascii="Times New Roman" w:cs="Times New Roman" w:eastAsia="Times New Roman" w:hAnsi="Times New Roman"/>
          <w:sz w:val="19"/>
          <w:szCs w:val="19"/>
          <w:color w:val="auto"/>
        </w:rPr>
        <w:t>If we or any of our licensors fail to adequately protect this intellectual property, our ability to commercialize our products could suffer. Any disputes with our licensors or any termination of the licenses on which we depend could have a material adverse effect on our business, financial condition, results of operations and prospects.</w:t>
      </w:r>
    </w:p>
    <w:p>
      <w:pPr>
        <w:spacing w:after="0" w:line="160"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on our ability to obtain, maintain and protect our intellectual property and proprietary technology.</w:t>
      </w:r>
    </w:p>
    <w:p>
      <w:pPr>
        <w:spacing w:after="0" w:line="16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Our commercial success depends in large part on our ability to obtain, maintain and protect intellectual property rights through patents, trademarks and trade secrets in the United States and other countries with respect to our proprietary product candidates. If we do not adequately protect our intellectual property rights, competitors may be able to erode, negate or preempt any competitive advantage we may have, which could harm our business and ability to achieve profitability.</w:t>
      </w:r>
    </w:p>
    <w:p>
      <w:pPr>
        <w:spacing w:after="0" w:line="19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To protect our proprietary position, we own and have in-licensed certain intellectual property rights, including certain issued patents and patent applications, and have filed and may file provisional and non-provisional patent applications in the United States or abroad related to our product candidates that are important to our business. Provisional patent applications are not eligible to become issued patents until, among other things, we file a non-provisional patent application within 12 months of the filing of one or more of our related provisional patent applications.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Moreover, the patent application and approval process is expensive and time-consuming. We may not be able to file and prosecute all necessary or desirable patent applications at a reasonable cost or in a timely manner.</w:t>
      </w:r>
    </w:p>
    <w:p>
      <w:pPr>
        <w:spacing w:after="0" w:line="206"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patent application, prosecution and enforcement processes are subject to numerous risks and uncertainties, and there can be no assurance that we, our licensors, or any of our current or future collaborators will be successful in protecting our product candidates by obtaining, defending and/or asserting patent rights. These risks and uncertainties include the following:</w:t>
      </w:r>
    </w:p>
    <w:p>
      <w:pPr>
        <w:spacing w:after="0" w:line="88" w:lineRule="exact"/>
        <w:rPr>
          <w:sz w:val="20"/>
          <w:szCs w:val="20"/>
          <w:color w:val="auto"/>
        </w:rPr>
      </w:pPr>
    </w:p>
    <w:p>
      <w:pPr>
        <w:ind w:left="980" w:right="40" w:hanging="492"/>
        <w:spacing w:after="0" w:line="244" w:lineRule="auto"/>
        <w:tabs>
          <w:tab w:leader="none" w:pos="98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U.S. Patent and Trademark Office (the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96" w:lineRule="exact"/>
        <w:rPr>
          <w:rFonts w:ascii="Symbol" w:cs="Symbol" w:eastAsia="Symbol" w:hAnsi="Symbol"/>
          <w:sz w:val="20"/>
          <w:szCs w:val="20"/>
          <w:color w:val="auto"/>
        </w:rPr>
      </w:pPr>
    </w:p>
    <w:p>
      <w:pPr>
        <w:ind w:left="980" w:hanging="492"/>
        <w:spacing w:after="0"/>
        <w:tabs>
          <w:tab w:leader="none" w:pos="98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patent applications may not result in any patents being issued;</w:t>
      </w:r>
    </w:p>
    <w:p>
      <w:pPr>
        <w:spacing w:after="0" w:line="119" w:lineRule="exact"/>
        <w:rPr>
          <w:rFonts w:ascii="Symbol" w:cs="Symbol" w:eastAsia="Symbol" w:hAnsi="Symbol"/>
          <w:sz w:val="20"/>
          <w:szCs w:val="20"/>
          <w:color w:val="auto"/>
        </w:rPr>
      </w:pPr>
    </w:p>
    <w:p>
      <w:pPr>
        <w:ind w:left="980" w:right="440" w:hanging="492"/>
        <w:spacing w:after="0" w:line="261" w:lineRule="auto"/>
        <w:tabs>
          <w:tab w:leader="none" w:pos="98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patents that may be issued or in-licensed may be challenged, invalidated, modified, revoked, circumvented, found to be unenforceable or otherwise may not provide any competitive advantage;</w:t>
      </w:r>
    </w:p>
    <w:p>
      <w:pPr>
        <w:spacing w:after="0" w:line="77" w:lineRule="exact"/>
        <w:rPr>
          <w:rFonts w:ascii="Symbol" w:cs="Symbol" w:eastAsia="Symbol" w:hAnsi="Symbol"/>
          <w:sz w:val="20"/>
          <w:szCs w:val="20"/>
          <w:color w:val="auto"/>
        </w:rPr>
      </w:pPr>
    </w:p>
    <w:p>
      <w:pPr>
        <w:ind w:left="980" w:right="120" w:hanging="492"/>
        <w:spacing w:after="0" w:line="270" w:lineRule="auto"/>
        <w:tabs>
          <w:tab w:leader="none" w:pos="980" w:val="left"/>
        </w:tabs>
        <w:numPr>
          <w:ilvl w:val="0"/>
          <w:numId w:val="40"/>
        </w:numPr>
        <w:rPr>
          <w:rFonts w:ascii="Symbol" w:cs="Symbol" w:eastAsia="Symbol" w:hAnsi="Symbol"/>
          <w:sz w:val="19"/>
          <w:szCs w:val="19"/>
          <w:color w:val="auto"/>
        </w:rPr>
      </w:pPr>
      <w:r>
        <w:rPr>
          <w:rFonts w:ascii="Times New Roman" w:cs="Times New Roman" w:eastAsia="Times New Roman" w:hAnsi="Times New Roman"/>
          <w:sz w:val="19"/>
          <w:szCs w:val="19"/>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our potential product candidates;</w:t>
      </w:r>
    </w:p>
    <w:p>
      <w:pPr>
        <w:spacing w:after="0" w:line="70" w:lineRule="exact"/>
        <w:rPr>
          <w:rFonts w:ascii="Symbol" w:cs="Symbol" w:eastAsia="Symbol" w:hAnsi="Symbol"/>
          <w:sz w:val="19"/>
          <w:szCs w:val="19"/>
          <w:color w:val="auto"/>
        </w:rPr>
      </w:pPr>
    </w:p>
    <w:p>
      <w:pPr>
        <w:jc w:val="both"/>
        <w:ind w:left="980" w:right="20" w:hanging="492"/>
        <w:spacing w:after="0" w:line="250" w:lineRule="auto"/>
        <w:tabs>
          <w:tab w:leader="none" w:pos="98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0" w:lineRule="exact"/>
        <w:rPr>
          <w:rFonts w:ascii="Symbol" w:cs="Symbol" w:eastAsia="Symbol" w:hAnsi="Symbol"/>
          <w:sz w:val="20"/>
          <w:szCs w:val="20"/>
          <w:color w:val="auto"/>
        </w:rPr>
      </w:pPr>
    </w:p>
    <w:p>
      <w:pPr>
        <w:ind w:left="980" w:right="180" w:hanging="492"/>
        <w:spacing w:after="0" w:line="250" w:lineRule="auto"/>
        <w:tabs>
          <w:tab w:leader="none" w:pos="98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20" w:right="1440" w:bottom="175" w:gutter="0" w:footer="0" w:header="0"/>
        </w:sectPr>
      </w:pPr>
    </w:p>
    <w:bookmarkStart w:id="54" w:name="page55"/>
    <w:bookmarkEnd w:id="54"/>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some instances, agreements through which we license intellectual property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While we have the first right to prosecute patents and patent applications we license under our license agreement with RemeGen in the licensed territory, RemeGen retains the right to prosecute these patents and patent applications in the remaining territory, and therefore we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206"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Moreover, some of our in-licensed patents and patent applications may be, and some of our future owned and licensed patents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89" w:lineRule="exact"/>
        <w:rPr>
          <w:sz w:val="20"/>
          <w:szCs w:val="20"/>
          <w:color w:val="auto"/>
        </w:rPr>
      </w:pPr>
    </w:p>
    <w:p>
      <w:pPr>
        <w:ind w:right="8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patent protection we obtain for our product candidates may not be sufficient to provide us with any competitive advantage or our patents may be challenged.</w:t>
      </w:r>
    </w:p>
    <w:p>
      <w:pPr>
        <w:spacing w:after="0" w:line="167"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Our owned and licensed patents and pending patent applications, if issued, may not provide us with any meaningful protection or may not prevent competitors from designing around our patent claims to circumvent our patents by developing similar or alternative technologies or therapeutics in a non-infringing manner. For example, a third party may develop a competitive product that provides benefits similar to one or more of our product candidates but falls outside the scope of our patent protection or license rights.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Currently, a significant portion of our patents and patent applications are in-licensed, though similar risks would apply to any patents or patent applications that we now own or may own or in-license in the future.</w:t>
      </w:r>
    </w:p>
    <w:p>
      <w:pPr>
        <w:spacing w:after="0" w:line="20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1"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auto"/>
        </w:rPr>
        <w:t>In addition, the determination of patent rights with respect to clinical compositions of matter and treatment methods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77" w:lineRule="exact"/>
        <w:rPr>
          <w:sz w:val="20"/>
          <w:szCs w:val="20"/>
          <w:color w:val="auto"/>
        </w:rPr>
      </w:pPr>
    </w:p>
    <w:p>
      <w:pPr>
        <w:jc w:val="both"/>
        <w:ind w:right="160" w:firstLine="490"/>
        <w:spacing w:after="0" w:line="247"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 If these changes were to occur, they could have a material adverse effect on our ability to generate revenue.</w:t>
      </w:r>
    </w:p>
    <w:p>
      <w:pPr>
        <w:spacing w:after="0" w:line="200"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20"/>
          <w:szCs w:val="20"/>
          <w:color w:val="auto"/>
        </w:rPr>
        <w:t>Pending patent applications cannot be enforced against third parties practicing the technology claimed in such applications unless and until a patent issues from such applications. Assuming the other requirements for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20" w:right="1440" w:bottom="175" w:gutter="0" w:footer="0" w:header="0"/>
        </w:sectPr>
      </w:pPr>
    </w:p>
    <w:bookmarkStart w:id="55" w:name="page56"/>
    <w:bookmarkEnd w:id="55"/>
    <w:p>
      <w:pPr>
        <w:ind w:right="20"/>
        <w:spacing w:after="0" w:line="243" w:lineRule="auto"/>
        <w:rPr>
          <w:sz w:val="20"/>
          <w:szCs w:val="20"/>
          <w:color w:val="auto"/>
        </w:rPr>
      </w:pPr>
      <w:r>
        <w:rPr>
          <w:rFonts w:ascii="Times New Roman" w:cs="Times New Roman" w:eastAsia="Times New Roman" w:hAnsi="Times New Roman"/>
          <w:sz w:val="20"/>
          <w:szCs w:val="20"/>
          <w:color w:val="auto"/>
        </w:rPr>
        <w:t>patentability are met, currently, the first party to file a patent application is generally entitled to the patent. However, prior to March 16, 2013, in the United States the first party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20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w:t>
      </w:r>
      <w:r>
        <w:rPr>
          <w:rFonts w:ascii="Times New Roman" w:cs="Times New Roman" w:eastAsia="Times New Roman" w:hAnsi="Times New Roman"/>
          <w:sz w:val="20"/>
          <w:szCs w:val="20"/>
          <w:i w:val="1"/>
          <w:iCs w:val="1"/>
          <w:color w:val="auto"/>
        </w:rPr>
        <w:t>ex parte</w:t>
      </w:r>
      <w:r>
        <w:rPr>
          <w:rFonts w:ascii="Times New Roman" w:cs="Times New Roman" w:eastAsia="Times New Roman" w:hAnsi="Times New Roman"/>
          <w:sz w:val="20"/>
          <w:szCs w:val="20"/>
          <w:color w:val="auto"/>
        </w:rPr>
        <w:t xml:space="preserve"> reexaminations,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claims being narrowed, invalidated or held unenforceable, in whole or in part, or in denial of the patent application or loss or reduction in the scope of one or more claims of the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20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for example, by submitting a Section 351(k) Biologics License Application (”BLA”) to the FDA, or pursue similar strategies in the United States or other jurisdictions,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213"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Other parties have developed or may develop technologies that may be related to or competitive with our approach, and may have filed or may file patent applications and may have been issued or may be issued patents with claims that overlap or conflict with our patent applications, either by claiming the same materials, formulations or methods, or by claiming subject matter that could dominate our patent position. In addition, certain parts or all of the patent portfolios licensed to us are, or may be, licensed to third parties and such third parties may have or may obtain certain enforcement rights. If the scope of the patent protection we or our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sectPr>
      </w:pPr>
    </w:p>
    <w:bookmarkStart w:id="56" w:name="page57"/>
    <w:bookmarkEnd w:id="56"/>
    <w:p>
      <w:pPr>
        <w:ind w:right="40"/>
        <w:spacing w:after="0" w:line="252" w:lineRule="auto"/>
        <w:rPr>
          <w:sz w:val="20"/>
          <w:szCs w:val="20"/>
          <w:color w:val="auto"/>
        </w:rPr>
      </w:pPr>
      <w:r>
        <w:rPr>
          <w:rFonts w:ascii="Times New Roman" w:cs="Times New Roman" w:eastAsia="Times New Roman" w:hAnsi="Times New Roman"/>
          <w:sz w:val="20"/>
          <w:szCs w:val="20"/>
          <w:color w:val="auto"/>
        </w:rPr>
        <w:t>any competitive advantage. We cannot provide any assurances that any of our licensed patents have, or that any of our pending owned or licensed patent applications that mature into issued patents will include, claims with a scope sufficient to protect our product candidates or otherwise provide any competitive advantage, nor can we provide any assurance that our licenses will remain in force.</w:t>
      </w:r>
    </w:p>
    <w:p>
      <w:pPr>
        <w:spacing w:after="0" w:line="18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may be harmed.</w:t>
      </w:r>
    </w:p>
    <w:p>
      <w:pPr>
        <w:spacing w:after="0" w:line="16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to the protection afforded by patents, we rely upon trade secret protection, know-how and continuing technological innovation to develop and maintain our competitive position. We seek to protect our proprietary technology and processes, in part, by entering into confidentiality agreements with our contractors, collaborators, scientific advisors, employees and consultants and invention assignment agreements with our consultants and employees.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of confidentiality agreements and other contractual restrictions. Monitoring unauthorized uses and disclosures is difficult and we do not know whether the steps we have taken to protect our proprietary technologies will be effective. If any of the contractors, collaborators, scientific advisors, employees and consultants who are parties to these agreements breaches or violates the terms of any of these agreements, we may not have adequate remedies for any such breach or violation. As a result, we could lose our trade secrets. Enforcing a claim against a third party that illegally obtained and is using our trade secrets, like patent litigation, is expensive and time-consuming and the outcome is unpredictable. In addition, courts outside the United States are sometimes less willing or unwilling to protect trade secrets. Any of the foregoing could have a material adverse effect on our business, financial condition, results of operations, and prospects.</w:t>
      </w:r>
    </w:p>
    <w:p>
      <w:pPr>
        <w:spacing w:after="0" w:line="20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Moreover, our trade secrets could otherwise become known or be independently discovered by our competitors or other third parties.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91"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acquiring or in-licensing necessary rights to key technologies underlying our product candidates.</w:t>
      </w:r>
    </w:p>
    <w:p>
      <w:pPr>
        <w:spacing w:after="0" w:line="16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currently have rights to intellectual property, through licenses from third parties, to develop our product candidates, and we expect to seek to expand our intellectual property footprint related to our product candidate pipeline in part by in-licensing the rights to key technologies. The future growth of our business will depend in part on our ability to in-license or otherwise acquire the rights to develop additional product candidates and technologies. Although we have succeeded in licensing technologies from third party licensors, including RemeGen, in the past, we can give no assurance that we will be able to in-license or acquire the rights to other technologies relevant to our product candidates from third parties on acceptable terms or at all.</w:t>
      </w:r>
    </w:p>
    <w:p>
      <w:pPr>
        <w:spacing w:after="0" w:line="200" w:lineRule="exact"/>
        <w:rPr>
          <w:sz w:val="20"/>
          <w:szCs w:val="20"/>
          <w:color w:val="auto"/>
        </w:rPr>
      </w:pPr>
    </w:p>
    <w:p>
      <w:pPr>
        <w:ind w:right="80" w:firstLine="490"/>
        <w:spacing w:after="0" w:line="265" w:lineRule="auto"/>
        <w:rPr>
          <w:sz w:val="20"/>
          <w:szCs w:val="20"/>
          <w:color w:val="auto"/>
        </w:rPr>
      </w:pPr>
      <w:r>
        <w:rPr>
          <w:rFonts w:ascii="Times New Roman" w:cs="Times New Roman" w:eastAsia="Times New Roman" w:hAnsi="Times New Roman"/>
          <w:sz w:val="19"/>
          <w:szCs w:val="19"/>
          <w:color w:val="auto"/>
        </w:rPr>
        <w:t>In order to market our product candidates, we may find it necessary or prudent to obtain licenses from such third party intellectual property holders. However, it may be unclear who owns the rights to intellectual property we wish to obtain, or we may be unable to secure such licenses or otherwise acquire or in-license intellectual property rights from third parties that we identify as necessary for our product candidates and technology we employ. We currently conduct our clinical trials under 35 U.S.C. § 271(e)(1), which provides a safe harbor from patent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20" w:right="1440" w:bottom="175" w:gutter="0" w:footer="0" w:header="0"/>
        </w:sectPr>
      </w:pPr>
    </w:p>
    <w:bookmarkStart w:id="57" w:name="page58"/>
    <w:bookmarkEnd w:id="57"/>
    <w:p>
      <w:pPr>
        <w:ind w:right="180"/>
        <w:spacing w:after="0" w:line="277" w:lineRule="auto"/>
        <w:rPr>
          <w:sz w:val="20"/>
          <w:szCs w:val="20"/>
          <w:color w:val="auto"/>
        </w:rPr>
      </w:pPr>
      <w:r>
        <w:rPr>
          <w:rFonts w:ascii="Times New Roman" w:cs="Times New Roman" w:eastAsia="Times New Roman" w:hAnsi="Times New Roman"/>
          <w:sz w:val="20"/>
          <w:szCs w:val="20"/>
          <w:color w:val="auto"/>
        </w:rPr>
        <w:t>infringement for uses of patented technology reasonably related to the development and submission of information under a federal law which regulates the manufacture, use, or sale of drugs.</w:t>
      </w:r>
    </w:p>
    <w:p>
      <w:pPr>
        <w:spacing w:after="0" w:line="16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licensing or acquisition of third party intellectual property rights is a highly competitive area, and other companies may pursue strategies to license or acquire third party intellectual property rights that we may consider attractive or necessary. Such companies may have a competitive advantage over us, e.g.,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1"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Even if we were able to obtain such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w:t>
      </w:r>
    </w:p>
    <w:p>
      <w:pPr>
        <w:spacing w:after="0" w:line="187"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misappropriation or other violations may prevent or delay our product discovery and development efforts and have a material adverse effect on our business.</w:t>
      </w:r>
    </w:p>
    <w:p>
      <w:pPr>
        <w:spacing w:after="0" w:line="16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 xml:space="preserve">Our commercial success depends in part on our avoiding infringement, misappropriation and other violations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and reexamination proceedings before the USPTO or oppositions and other comparable proceedings in foreign jurisdictions. Recently, under U.S. patent reform, new procedures including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post grant review have been implemented. This reform will bring uncertainty to the possibility of challenge to our patents in the future. Numerous U.S. and foreign issued patents and pending patent applications, which are owned by third parties, exist in the fields in which we are developing our product candidates, and third parties may allege they have patent rights encompassing our product candidates, technologies or methods. Third parties may assert that we are employing their proprietary technology without authorization and may file patent infringement claims or lawsuits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20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There may also be third-party patents of which we are currently unaware with patent rights to materials, formulations, methods of manufacture or methods of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Further, we or our licensors may fail to identify even those relevant third-party patents that have issued or may incorrectly interpret the relevance, scope or expiration of such patents. The scope of a patent claim is determined by an interpretation of the law, the written disclosure in a patent and the patent’s prosecution history. Our interpretation of the relevance or scope of a patent or a pending application may be incorrect. If any third-party patents were held by a court of competent jurisdiction to cover the manufacturing process of our product candidates, materials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materials, formulations or methods, including without limitation,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20" w:right="1440" w:bottom="175" w:gutter="0" w:footer="0" w:header="0"/>
        </w:sectPr>
      </w:pPr>
    </w:p>
    <w:bookmarkStart w:id="58" w:name="page59"/>
    <w:bookmarkEnd w:id="58"/>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involve a substantial diversion of employee resources from our business. We may not have sufficient resources to bring these actions to a successful conclusion, which may result in significant cost and may impede our inability to pursue any affected products or product candidates.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01"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 - payment of fees and failure to properly legalize and submit formal documents. In such an event, our competitors might be able to enter the market earlier than would otherwise have been the case, which would have a material adverse effect on our business.</w:t>
      </w:r>
    </w:p>
    <w:p>
      <w:pPr>
        <w:spacing w:after="0" w:line="199" w:lineRule="exact"/>
        <w:rPr>
          <w:sz w:val="20"/>
          <w:szCs w:val="20"/>
          <w:color w:val="auto"/>
        </w:rPr>
      </w:pPr>
    </w:p>
    <w:p>
      <w:pPr>
        <w:ind w:right="6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Some intellectual property that we have in-licensed may have been discovered through government funded programs and thus may be subject to federal regulations such as “march-in” rights, certain reporting requirements and a preference for U.S. -based companies. Compliance with such regulations may limit our exclusive rights and limit our ability to contract with non-U.S. manufacturers.</w:t>
      </w:r>
    </w:p>
    <w:p>
      <w:pPr>
        <w:spacing w:after="0" w:line="1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Any of the intellectual property rights that we have licensed or we may license in the future and that have been generated through the use of U.S. government funding are subject to certain federal regulations. As a result, the U.S. government may have certain rights to intellectual property embodied in our current or future product candidates pursuant to the Bayh-Dole Act of 1980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such intellectual property rights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w:t>
      </w:r>
    </w:p>
    <w:p>
      <w:pPr>
        <w:spacing w:after="0" w:line="21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20" w:right="1440" w:bottom="175" w:gutter="0" w:footer="0" w:header="0"/>
        </w:sectPr>
      </w:pPr>
    </w:p>
    <w:bookmarkStart w:id="59" w:name="page60"/>
    <w:bookmarkEnd w:id="59"/>
    <w:p>
      <w:pPr>
        <w:ind w:right="120"/>
        <w:spacing w:after="0" w:line="249" w:lineRule="auto"/>
        <w:rPr>
          <w:sz w:val="20"/>
          <w:szCs w:val="20"/>
          <w:color w:val="auto"/>
        </w:rPr>
      </w:pPr>
      <w:r>
        <w:rPr>
          <w:rFonts w:ascii="Times New Roman" w:cs="Times New Roman" w:eastAsia="Times New Roman" w:hAnsi="Times New Roman"/>
          <w:sz w:val="20"/>
          <w:szCs w:val="20"/>
          <w:color w:val="auto"/>
        </w:rPr>
        <w:t>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which could be expensive, time-consuming and unsuccessful.</w:t>
      </w:r>
    </w:p>
    <w:p>
      <w:pPr>
        <w:spacing w:after="0" w:line="16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Any of the foregoing may have a material adverse effect on our business, financial condition, results of operations and prospects.</w:t>
      </w:r>
    </w:p>
    <w:p>
      <w:pPr>
        <w:spacing w:after="0" w:line="19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to patent law in the United States and other jurisdictions could diminish the value of patents in general, thereby impairing our ability to protect our product candidates.</w:t>
      </w:r>
    </w:p>
    <w:p>
      <w:pPr>
        <w:spacing w:after="0" w:line="169"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20"/>
          <w:szCs w:val="20"/>
          <w:i w:val="1"/>
          <w:iCs w:val="1"/>
          <w:color w:val="auto"/>
        </w:rPr>
        <w:t xml:space="preserve">Assoc. for Molecular Pathology v. Myriad Genetics, Inc., </w:t>
      </w:r>
      <w:r>
        <w:rPr>
          <w:rFonts w:ascii="Times New Roman" w:cs="Times New Roman" w:eastAsia="Times New Roman" w:hAnsi="Times New Roman"/>
          <w:sz w:val="20"/>
          <w:szCs w:val="20"/>
          <w:color w:val="auto"/>
        </w:rPr>
        <w:t>the Supreme Court held that certain claims to DNA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molecules are not patentable. In addition, the case </w:t>
      </w:r>
      <w:r>
        <w:rPr>
          <w:rFonts w:ascii="Times New Roman" w:cs="Times New Roman" w:eastAsia="Times New Roman" w:hAnsi="Times New Roman"/>
          <w:sz w:val="20"/>
          <w:szCs w:val="20"/>
          <w:i w:val="1"/>
          <w:iCs w:val="1"/>
          <w:color w:val="auto"/>
        </w:rPr>
        <w:t>Amgen Inc. v. Sanofi</w:t>
      </w:r>
      <w:r>
        <w:rPr>
          <w:rFonts w:ascii="Times New Roman" w:cs="Times New Roman" w:eastAsia="Times New Roman" w:hAnsi="Times New Roman"/>
          <w:sz w:val="20"/>
          <w:szCs w:val="20"/>
          <w:color w:val="auto"/>
        </w:rPr>
        <w:t xml:space="preserve"> affects the way antibody claims are examined and litigated. While we do not believe that any of the patents owned or licensed by us will be found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sectPr>
      </w:pPr>
    </w:p>
    <w:bookmarkStart w:id="60" w:name="page61"/>
    <w:bookmarkEnd w:id="60"/>
    <w:p>
      <w:pPr>
        <w:ind w:right="140"/>
        <w:spacing w:after="0" w:line="277" w:lineRule="auto"/>
        <w:rPr>
          <w:sz w:val="20"/>
          <w:szCs w:val="20"/>
          <w:color w:val="auto"/>
        </w:rPr>
      </w:pPr>
      <w:r>
        <w:rPr>
          <w:rFonts w:ascii="Times New Roman" w:cs="Times New Roman" w:eastAsia="Times New Roman" w:hAnsi="Times New Roman"/>
          <w:sz w:val="20"/>
          <w:szCs w:val="20"/>
          <w:color w:val="auto"/>
        </w:rPr>
        <w:t>invalid based on these decisions, we cannot predict how future decisions by the courts, the Congress or the USPTO may impact the value of our patents.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3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spacing w:after="0" w:line="20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03"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9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filing date of a non-provisional application to which the patent claims priority.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95" w:lineRule="exact"/>
        <w:rPr>
          <w:sz w:val="20"/>
          <w:szCs w:val="20"/>
          <w:color w:val="auto"/>
        </w:rPr>
      </w:pPr>
    </w:p>
    <w:p>
      <w:pPr>
        <w:ind w:right="9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patents related to any of our product candidates, our business may be materially harmed.</w:t>
      </w:r>
    </w:p>
    <w:p>
      <w:pPr>
        <w:spacing w:after="0" w:line="168"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20" w:right="1440" w:bottom="175" w:gutter="0" w:footer="0" w:header="0"/>
        </w:sectPr>
      </w:pPr>
    </w:p>
    <w:bookmarkStart w:id="61" w:name="page62"/>
    <w:bookmarkEnd w:id="61"/>
    <w:p>
      <w:pPr>
        <w:ind w:right="20"/>
        <w:spacing w:after="0" w:line="243" w:lineRule="auto"/>
        <w:rPr>
          <w:sz w:val="20"/>
          <w:szCs w:val="20"/>
          <w:color w:val="auto"/>
        </w:rPr>
      </w:pPr>
      <w:r>
        <w:rPr>
          <w:rFonts w:ascii="Times New Roman" w:cs="Times New Roman" w:eastAsia="Times New Roman" w:hAnsi="Times New Roman"/>
          <w:sz w:val="20"/>
          <w:szCs w:val="20"/>
          <w:color w:val="auto"/>
        </w:rPr>
        <w:t>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93"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or consultants have wrongfully used or disclosed confidential information or misappropriated trade secrets.</w:t>
      </w:r>
    </w:p>
    <w:p>
      <w:pPr>
        <w:spacing w:after="0" w:line="16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We employ individuals who were previously employed at universities or other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Any of the foregoing would harm our business, financial condition, results of operations, and prospects.</w:t>
      </w:r>
    </w:p>
    <w:p>
      <w:pPr>
        <w:spacing w:after="0" w:line="199"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39" w:lineRule="exact"/>
        <w:rPr>
          <w:sz w:val="20"/>
          <w:szCs w:val="20"/>
          <w:color w:val="auto"/>
        </w:rPr>
      </w:pPr>
    </w:p>
    <w:p>
      <w:pPr>
        <w:ind w:right="300" w:firstLine="490"/>
        <w:spacing w:after="0" w:line="259"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0" w:lineRule="exact"/>
        <w:rPr>
          <w:sz w:val="20"/>
          <w:szCs w:val="20"/>
          <w:color w:val="auto"/>
        </w:rPr>
      </w:pPr>
    </w:p>
    <w:p>
      <w:pPr>
        <w:ind w:left="980" w:hanging="492"/>
        <w:spacing w:after="0"/>
        <w:tabs>
          <w:tab w:leader="none" w:pos="98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Our product candidates may eventually become available in generic or biosimilar product forms;</w:t>
      </w:r>
    </w:p>
    <w:p>
      <w:pPr>
        <w:spacing w:after="0" w:line="119" w:lineRule="exact"/>
        <w:rPr>
          <w:rFonts w:ascii="Symbol" w:cs="Symbol" w:eastAsia="Symbol" w:hAnsi="Symbol"/>
          <w:sz w:val="20"/>
          <w:szCs w:val="20"/>
          <w:color w:val="auto"/>
        </w:rPr>
      </w:pPr>
    </w:p>
    <w:p>
      <w:pPr>
        <w:ind w:left="980" w:right="740" w:hanging="492"/>
        <w:spacing w:after="0" w:line="261" w:lineRule="auto"/>
        <w:tabs>
          <w:tab w:leader="none" w:pos="98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be able to make products that are similar to our product candidates or utilize similar technology but that are not covered by the claims of the patents that we license or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20" w:right="1440" w:bottom="175" w:gutter="0" w:footer="0" w:header="0"/>
        </w:sectPr>
      </w:pPr>
    </w:p>
    <w:bookmarkStart w:id="62" w:name="page63"/>
    <w:bookmarkEnd w:id="62"/>
    <w:p>
      <w:pPr>
        <w:ind w:left="980" w:hanging="492"/>
        <w:spacing w:after="0" w:line="261"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current or future licensors might not have been the first to make the inventions covered by the issued patent or pending patent application that we license or own;</w:t>
      </w:r>
    </w:p>
    <w:p>
      <w:pPr>
        <w:spacing w:after="0" w:line="77" w:lineRule="exact"/>
        <w:rPr>
          <w:rFonts w:ascii="Symbol" w:cs="Symbol" w:eastAsia="Symbol" w:hAnsi="Symbol"/>
          <w:sz w:val="20"/>
          <w:szCs w:val="20"/>
          <w:color w:val="auto"/>
        </w:rPr>
      </w:pPr>
    </w:p>
    <w:p>
      <w:pPr>
        <w:ind w:left="980" w:right="280" w:hanging="492"/>
        <w:spacing w:after="0" w:line="262"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current or future licensors might not have been the first to file patent applications covering certain of our or their inventions;</w:t>
      </w:r>
    </w:p>
    <w:p>
      <w:pPr>
        <w:spacing w:after="0" w:line="75" w:lineRule="exact"/>
        <w:rPr>
          <w:rFonts w:ascii="Symbol" w:cs="Symbol" w:eastAsia="Symbol" w:hAnsi="Symbol"/>
          <w:sz w:val="20"/>
          <w:szCs w:val="20"/>
          <w:color w:val="auto"/>
        </w:rPr>
      </w:pPr>
    </w:p>
    <w:p>
      <w:pPr>
        <w:ind w:left="980" w:right="20" w:hanging="492"/>
        <w:spacing w:after="0" w:line="250"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90" w:lineRule="exact"/>
        <w:rPr>
          <w:rFonts w:ascii="Symbol" w:cs="Symbol" w:eastAsia="Symbol" w:hAnsi="Symbol"/>
          <w:sz w:val="20"/>
          <w:szCs w:val="20"/>
          <w:color w:val="auto"/>
        </w:rPr>
      </w:pPr>
    </w:p>
    <w:p>
      <w:pPr>
        <w:ind w:left="980" w:right="980" w:hanging="492"/>
        <w:spacing w:after="0" w:line="262"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or licensed intellectual property rights;</w:t>
      </w:r>
    </w:p>
    <w:p>
      <w:pPr>
        <w:spacing w:after="0" w:line="75" w:lineRule="exact"/>
        <w:rPr>
          <w:rFonts w:ascii="Symbol" w:cs="Symbol" w:eastAsia="Symbol" w:hAnsi="Symbol"/>
          <w:sz w:val="20"/>
          <w:szCs w:val="20"/>
          <w:color w:val="auto"/>
        </w:rPr>
      </w:pPr>
    </w:p>
    <w:p>
      <w:pPr>
        <w:ind w:left="980" w:right="300" w:hanging="492"/>
        <w:spacing w:after="0" w:line="262"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our pending, owned or licensed patent applications or those that we may own in the future will not lead to issued patents;</w:t>
      </w:r>
    </w:p>
    <w:p>
      <w:pPr>
        <w:spacing w:after="0" w:line="76" w:lineRule="exact"/>
        <w:rPr>
          <w:rFonts w:ascii="Symbol" w:cs="Symbol" w:eastAsia="Symbol" w:hAnsi="Symbol"/>
          <w:sz w:val="20"/>
          <w:szCs w:val="20"/>
          <w:color w:val="auto"/>
        </w:rPr>
      </w:pPr>
    </w:p>
    <w:p>
      <w:pPr>
        <w:ind w:left="980" w:right="640" w:hanging="492"/>
        <w:spacing w:after="0" w:line="261"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there are prior public disclosures that could invalidate our owned or in-licensed patents, or parts of our owned or in-licensed patents;</w:t>
      </w:r>
    </w:p>
    <w:p>
      <w:pPr>
        <w:spacing w:after="0" w:line="77" w:lineRule="exact"/>
        <w:rPr>
          <w:rFonts w:ascii="Symbol" w:cs="Symbol" w:eastAsia="Symbol" w:hAnsi="Symbol"/>
          <w:sz w:val="20"/>
          <w:szCs w:val="20"/>
          <w:color w:val="auto"/>
        </w:rPr>
      </w:pPr>
    </w:p>
    <w:p>
      <w:pPr>
        <w:ind w:left="980" w:right="320" w:hanging="492"/>
        <w:spacing w:after="0" w:line="261"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there are unpublished applications or patent applications maintained in secrecy that may later issue with claims covering our product candidates or technology similar to ours;</w:t>
      </w:r>
    </w:p>
    <w:p>
      <w:pPr>
        <w:spacing w:after="0" w:line="77" w:lineRule="exact"/>
        <w:rPr>
          <w:rFonts w:ascii="Symbol" w:cs="Symbol" w:eastAsia="Symbol" w:hAnsi="Symbol"/>
          <w:sz w:val="20"/>
          <w:szCs w:val="20"/>
          <w:color w:val="auto"/>
        </w:rPr>
      </w:pPr>
    </w:p>
    <w:p>
      <w:pPr>
        <w:ind w:left="980" w:right="60" w:hanging="492"/>
        <w:spacing w:after="0" w:line="270" w:lineRule="auto"/>
        <w:tabs>
          <w:tab w:leader="none" w:pos="980" w:val="left"/>
        </w:tabs>
        <w:numPr>
          <w:ilvl w:val="0"/>
          <w:numId w:val="42"/>
        </w:numPr>
        <w:rPr>
          <w:rFonts w:ascii="Symbol" w:cs="Symbol" w:eastAsia="Symbol" w:hAnsi="Symbol"/>
          <w:sz w:val="19"/>
          <w:szCs w:val="19"/>
          <w:color w:val="auto"/>
        </w:rPr>
      </w:pPr>
      <w:r>
        <w:rPr>
          <w:rFonts w:ascii="Times New Roman" w:cs="Times New Roman" w:eastAsia="Times New Roman" w:hAnsi="Times New Roman"/>
          <w:sz w:val="19"/>
          <w:szCs w:val="19"/>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0" w:lineRule="exact"/>
        <w:rPr>
          <w:rFonts w:ascii="Symbol" w:cs="Symbol" w:eastAsia="Symbol" w:hAnsi="Symbol"/>
          <w:sz w:val="19"/>
          <w:szCs w:val="19"/>
          <w:color w:val="auto"/>
        </w:rPr>
      </w:pPr>
    </w:p>
    <w:p>
      <w:pPr>
        <w:ind w:left="980" w:right="20" w:hanging="492"/>
        <w:spacing w:after="0" w:line="262"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it is possible that our pending owned or licensed patent applications or those that we may own or license in the future will not lead to issued patents;</w:t>
      </w:r>
    </w:p>
    <w:p>
      <w:pPr>
        <w:spacing w:after="0" w:line="75" w:lineRule="exact"/>
        <w:rPr>
          <w:rFonts w:ascii="Symbol" w:cs="Symbol" w:eastAsia="Symbol" w:hAnsi="Symbol"/>
          <w:sz w:val="20"/>
          <w:szCs w:val="20"/>
          <w:color w:val="auto"/>
        </w:rPr>
      </w:pPr>
    </w:p>
    <w:p>
      <w:pPr>
        <w:ind w:left="980" w:right="120" w:hanging="492"/>
        <w:spacing w:after="0" w:line="262"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w:t>
      </w:r>
    </w:p>
    <w:p>
      <w:pPr>
        <w:spacing w:after="0" w:line="76" w:lineRule="exact"/>
        <w:rPr>
          <w:rFonts w:ascii="Symbol" w:cs="Symbol" w:eastAsia="Symbol" w:hAnsi="Symbol"/>
          <w:sz w:val="20"/>
          <w:szCs w:val="20"/>
          <w:color w:val="auto"/>
        </w:rPr>
      </w:pPr>
    </w:p>
    <w:p>
      <w:pPr>
        <w:ind w:left="980" w:right="20" w:hanging="492"/>
        <w:spacing w:after="0" w:line="261"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claims of our owned or in-licensed issued patents or patent applications, if and when issued, may not cover our product candidates;</w:t>
      </w:r>
    </w:p>
    <w:p>
      <w:pPr>
        <w:spacing w:after="0" w:line="77" w:lineRule="exact"/>
        <w:rPr>
          <w:rFonts w:ascii="Symbol" w:cs="Symbol" w:eastAsia="Symbol" w:hAnsi="Symbol"/>
          <w:sz w:val="20"/>
          <w:szCs w:val="20"/>
          <w:color w:val="auto"/>
        </w:rPr>
      </w:pPr>
    </w:p>
    <w:p>
      <w:pPr>
        <w:ind w:left="980" w:right="240" w:hanging="492"/>
        <w:spacing w:after="0" w:line="261"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laws of foreign countries may not protect our proprietary rights or the proprietary rights of license partners or current or future collaborators to the same extent as the laws of the United States;</w:t>
      </w:r>
    </w:p>
    <w:p>
      <w:pPr>
        <w:spacing w:after="0" w:line="77" w:lineRule="exact"/>
        <w:rPr>
          <w:rFonts w:ascii="Symbol" w:cs="Symbol" w:eastAsia="Symbol" w:hAnsi="Symbol"/>
          <w:sz w:val="20"/>
          <w:szCs w:val="20"/>
          <w:color w:val="auto"/>
        </w:rPr>
      </w:pPr>
    </w:p>
    <w:p>
      <w:pPr>
        <w:ind w:left="980" w:right="60" w:hanging="492"/>
        <w:spacing w:after="0" w:line="250"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90" w:lineRule="exact"/>
        <w:rPr>
          <w:rFonts w:ascii="Symbol" w:cs="Symbol" w:eastAsia="Symbol" w:hAnsi="Symbol"/>
          <w:sz w:val="20"/>
          <w:szCs w:val="20"/>
          <w:color w:val="auto"/>
        </w:rPr>
      </w:pPr>
    </w:p>
    <w:p>
      <w:pPr>
        <w:jc w:val="both"/>
        <w:ind w:left="980" w:right="160" w:hanging="492"/>
        <w:spacing w:after="0" w:line="250"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0" w:lineRule="exact"/>
        <w:rPr>
          <w:rFonts w:ascii="Symbol" w:cs="Symbol" w:eastAsia="Symbol" w:hAnsi="Symbol"/>
          <w:sz w:val="20"/>
          <w:szCs w:val="20"/>
          <w:color w:val="auto"/>
        </w:rPr>
      </w:pPr>
    </w:p>
    <w:p>
      <w:pPr>
        <w:ind w:left="980" w:right="160" w:hanging="492"/>
        <w:spacing w:after="0" w:line="290" w:lineRule="auto"/>
        <w:tabs>
          <w:tab w:leader="none" w:pos="980" w:val="left"/>
        </w:tabs>
        <w:numPr>
          <w:ilvl w:val="0"/>
          <w:numId w:val="42"/>
        </w:numPr>
        <w:rPr>
          <w:rFonts w:ascii="Symbol" w:cs="Symbol" w:eastAsia="Symbol" w:hAnsi="Symbol"/>
          <w:sz w:val="19"/>
          <w:szCs w:val="19"/>
          <w:color w:val="auto"/>
        </w:rPr>
      </w:pPr>
      <w:r>
        <w:rPr>
          <w:rFonts w:ascii="Times New Roman" w:cs="Times New Roman" w:eastAsia="Times New Roman" w:hAnsi="Times New Roman"/>
          <w:sz w:val="19"/>
          <w:szCs w:val="19"/>
          <w:color w:val="auto"/>
        </w:rPr>
        <w:t>we have engaged in scientific collaborations in the past and will continue to do so in the future and our collaborators may develop adjacent or competing products that are outside the scope of our patents;</w:t>
      </w:r>
    </w:p>
    <w:p>
      <w:pPr>
        <w:spacing w:after="0" w:line="48" w:lineRule="exact"/>
        <w:rPr>
          <w:rFonts w:ascii="Symbol" w:cs="Symbol" w:eastAsia="Symbol" w:hAnsi="Symbol"/>
          <w:sz w:val="19"/>
          <w:szCs w:val="19"/>
          <w:color w:val="auto"/>
        </w:rPr>
      </w:pPr>
    </w:p>
    <w:p>
      <w:pPr>
        <w:ind w:left="980" w:hanging="492"/>
        <w:spacing w:after="0"/>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any product candidates we develop may be covered by third parties’ patents or other exclusive rights;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119" w:lineRule="exact"/>
        <w:rPr>
          <w:rFonts w:ascii="Symbol" w:cs="Symbol" w:eastAsia="Symbol" w:hAnsi="Symbol"/>
          <w:sz w:val="20"/>
          <w:szCs w:val="20"/>
          <w:color w:val="auto"/>
        </w:rPr>
      </w:pPr>
    </w:p>
    <w:p>
      <w:pPr>
        <w:ind w:left="980" w:right="300" w:hanging="492"/>
        <w:spacing w:after="0" w:line="262" w:lineRule="auto"/>
        <w:tabs>
          <w:tab w:leader="none" w:pos="98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intellectual property.</w:t>
      </w:r>
    </w:p>
    <w:p>
      <w:pPr>
        <w:spacing w:after="0" w:line="181"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20"/>
          <w:szCs w:val="20"/>
          <w:color w:val="auto"/>
        </w:rPr>
        <w:t>Should any of these events occur, they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35" w:right="1440" w:bottom="175" w:gutter="0" w:footer="0" w:header="0"/>
        </w:sectPr>
      </w:pPr>
    </w:p>
    <w:bookmarkStart w:id="63" w:name="page64"/>
    <w:bookmarkEnd w:id="63"/>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and Other Legal Compliance Matters</w:t>
      </w:r>
    </w:p>
    <w:p>
      <w:pPr>
        <w:spacing w:after="0" w:line="235" w:lineRule="exact"/>
        <w:rPr>
          <w:sz w:val="20"/>
          <w:szCs w:val="20"/>
          <w:color w:val="auto"/>
        </w:rPr>
      </w:pPr>
    </w:p>
    <w:p>
      <w:pPr>
        <w:ind w:right="580"/>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Failure to obtain marketing approval in foreign jurisdictions would prevent product candidates from being marketed in such jurisdictions, which, in turn, would materially impair our ability to generate revenue.</w:t>
      </w:r>
    </w:p>
    <w:p>
      <w:pPr>
        <w:spacing w:after="0" w:line="1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order to market and sell product candidates in the European Union and other foreign jurisdictions, we or our third-party collaborators must obtain separate marketing approvals (a single one for the European Union)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9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or any collaborators we may have, obtain marketing approvals for our product candidates,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19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EMA, the Competent Authorities of the Member States of the European Union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 The FDA and other regulatory authorities may restrict the use of our products to certain specialists and/or institutions and require formal reporting and approval of a REMS program. Such restrictions or requirements could deter use of our products by certain individuals or institutions.</w:t>
      </w:r>
    </w:p>
    <w:p>
      <w:pPr>
        <w:spacing w:after="0" w:line="205"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Accordingly, assuming we, or any of our collaborators, receive marketing approval for one or more product candidates, we,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92"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any product candidate, we will be subject to ongoing obligations and continued regulatory review, which may result in significant additional expense. Additionally, our product candidates for which we obtain marketing approval could be subject to labeling and other restrictions or withdrawal from the market, and we may be subject to substantial penalties if we fail to comply with regulatory requirements or if we experience unanticipated problems with our products, when and if any of them are approved.</w:t>
      </w:r>
    </w:p>
    <w:p>
      <w:pPr>
        <w:spacing w:after="0" w:line="200" w:lineRule="exact"/>
        <w:rPr>
          <w:sz w:val="20"/>
          <w:szCs w:val="20"/>
          <w:color w:val="auto"/>
        </w:rPr>
      </w:pPr>
    </w:p>
    <w:p>
      <w:pPr>
        <w:ind w:right="300" w:firstLine="490"/>
        <w:spacing w:after="0" w:line="305" w:lineRule="auto"/>
        <w:rPr>
          <w:sz w:val="20"/>
          <w:szCs w:val="20"/>
          <w:color w:val="auto"/>
        </w:rPr>
      </w:pPr>
      <w:r>
        <w:rPr>
          <w:rFonts w:ascii="Times New Roman" w:cs="Times New Roman" w:eastAsia="Times New Roman" w:hAnsi="Times New Roman"/>
          <w:sz w:val="19"/>
          <w:szCs w:val="19"/>
          <w:color w:val="auto"/>
        </w:rPr>
        <w:t>If the FDA or a comparable foreign regulatory authority approves any of our product candidates, the manufacturing processes, testing, safety, efficacy, labeling, packaging, distribution, import, export, adverse event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40" w:right="1440" w:bottom="175" w:gutter="0" w:footer="0" w:header="0"/>
        </w:sectPr>
      </w:pPr>
    </w:p>
    <w:bookmarkStart w:id="64" w:name="page65"/>
    <w:bookmarkEnd w:id="64"/>
    <w:p>
      <w:pPr>
        <w:ind w:right="100"/>
        <w:spacing w:after="0" w:line="245" w:lineRule="auto"/>
        <w:rPr>
          <w:sz w:val="20"/>
          <w:szCs w:val="20"/>
          <w:color w:val="auto"/>
        </w:rPr>
      </w:pPr>
      <w:r>
        <w:rPr>
          <w:rFonts w:ascii="Times New Roman" w:cs="Times New Roman" w:eastAsia="Times New Roman" w:hAnsi="Times New Roman"/>
          <w:sz w:val="20"/>
          <w:szCs w:val="20"/>
          <w:color w:val="auto"/>
        </w:rPr>
        <w:t>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spacing w:after="0" w:line="20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FDA, the EMA, the Competent Authorities of the Member States of the European Union and other regulatory authorities closely regulate the post-approval marketing and promotion of products to ensure that they are marketed only for the approved indications and in accordance with the provisions of the approved labeling. The FDA, the Competent Authorities of the Member States of the European Union and other regulatory authorities impose stringent restrictions on manufacturers’ communications regarding off-label use, and if we market our products for off- label use, we may be subject to enforcement action for off-label marketing by the FDA and other federal and state enforcement agencies, including the Department of Justice. While physicians may prescribe products for off-label uses as the FDA and other U.S.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207" w:lineRule="exact"/>
        <w:rPr>
          <w:sz w:val="20"/>
          <w:szCs w:val="20"/>
          <w:color w:val="auto"/>
        </w:rPr>
      </w:pPr>
    </w:p>
    <w:p>
      <w:pPr>
        <w:jc w:val="both"/>
        <w:ind w:right="1040" w:firstLine="490"/>
        <w:spacing w:after="0" w:line="258" w:lineRule="auto"/>
        <w:rPr>
          <w:sz w:val="20"/>
          <w:szCs w:val="20"/>
          <w:color w:val="auto"/>
        </w:rPr>
      </w:pPr>
      <w:r>
        <w:rPr>
          <w:rFonts w:ascii="Times New Roman" w:cs="Times New Roman" w:eastAsia="Times New Roman" w:hAnsi="Times New Roman"/>
          <w:sz w:val="20"/>
          <w:szCs w:val="20"/>
          <w:color w:val="auto"/>
        </w:rPr>
        <w:t>In addition, later discovery of previously unknown problems with our products, manufacturers or manufacturing processes, or failure to comply with regulatory requirements, may yield various negative consequences, including:</w:t>
      </w:r>
    </w:p>
    <w:p>
      <w:pPr>
        <w:spacing w:after="0" w:line="83" w:lineRule="exact"/>
        <w:rPr>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such products, manufacturers or manufacturing processes;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labeling or marketing of a product;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distribution or use of a product;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requirements to conduct post-marketing clinical trials;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receipt of warning or untitled letters;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the products from the market;</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recall of products;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restitution or disgorgement of profits or revenue;</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future procurements with governmental authorities;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suspension of any ongoing clinical trials;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to permit the import or export of our products;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seizure; and</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20" w:right="1440" w:bottom="175" w:gutter="0" w:footer="0" w:header="0"/>
        </w:sectPr>
      </w:pPr>
    </w:p>
    <w:bookmarkStart w:id="65" w:name="page66"/>
    <w:bookmarkEnd w:id="65"/>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of our product candidates, if approved, and adversely affect our business, financial condition, results of operations and prospects.</w:t>
      </w:r>
    </w:p>
    <w:p>
      <w:pPr>
        <w:spacing w:after="0" w:line="1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Moreover, the policies of the FDA and of comparable foreign regulatory authorities may change and additional government regulations may be enacted that could prevent, limit or delay regulatory approval of our product candidates. For example, 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decisions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caused by funding shortages, layoffs, shifting policy priorities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94"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statutory, regulatory, and policy changes, layoffs,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biologics or modifications to cleared or approved biologics to be reviewed and/or approved by necessary government agencies, which would adversely affect our business. Additionally, over the last several years, the U.S. government has shut down multiple times and certain regulatory agencies, such as the FDA and the SEC, have had to furlough critical FDA, SEC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19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providers, including physicians, and third-party payors will be subject to applicable anti-kickback, fraud and abuse, health data privacy, transparency, anti-bribery and other healthcare laws and regulations, which could expose us to criminal sanctions, civil penalties, contractual damages, reputational harm and diminished profits and future earnings.</w:t>
      </w:r>
    </w:p>
    <w:p>
      <w:pPr>
        <w:spacing w:after="0" w:line="19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Healthcare providers and third-party payors play a primary role in the recommendation and prescription of any product candidates for which we obtain marketing approval. Our current and future arrangements with healthcare providers, third-party payors and customers may expose us to broadly applicable federal and state fraud and abuse, transparency, health data privacy, and other healthcare laws and regulations that may constrain the business or financial arrangements and relationships through which we research as well as market, sell and distribute our products for which we obtain marketing approval.</w:t>
      </w:r>
    </w:p>
    <w:p>
      <w:pPr>
        <w:spacing w:after="0" w:line="20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Given the breadth of the laws and regulations and evolving government interpretations of the laws and regulations, governmental authorities may possibly conclude that our business practices, including certain of our advisory board arrangements with physicians, some of whom are compensated in the form of stock or stock options, may not comply with healthcare laws and regulations. If our operations are found to be in violation of any healthcare laws or any other federal or state government regulations that apply to us, we may be subject to significant penalties, including administrative, civil and criminal penalties, damages, fines, disgorgement, exclusion from participation in government health care programs, such as Medicare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20" w:right="1440" w:bottom="175" w:gutter="0" w:footer="0" w:header="0"/>
        </w:sectPr>
      </w:pPr>
    </w:p>
    <w:bookmarkStart w:id="66" w:name="page67"/>
    <w:bookmarkEnd w:id="66"/>
    <w:p>
      <w:pPr>
        <w:ind w:right="120"/>
        <w:spacing w:after="0" w:line="258" w:lineRule="auto"/>
        <w:rPr>
          <w:sz w:val="20"/>
          <w:szCs w:val="20"/>
          <w:color w:val="auto"/>
        </w:rPr>
      </w:pPr>
      <w:r>
        <w:rPr>
          <w:rFonts w:ascii="Times New Roman" w:cs="Times New Roman" w:eastAsia="Times New Roman" w:hAnsi="Times New Roman"/>
          <w:sz w:val="20"/>
          <w:szCs w:val="20"/>
          <w:color w:val="auto"/>
        </w:rPr>
        <w:t>and Medicaid, imprisonment, integrity oversight and reporting obligations, contractual damages, reputational harm, diminished profits and future earnings, and the curtailment or restructuring of our operations, any of which could adversely affect our business, financial condition, results of operations, and prospects.</w:t>
      </w:r>
    </w:p>
    <w:p>
      <w:pPr>
        <w:spacing w:after="0" w:line="17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Additionally, some state and local laws require certain regulatory licenses to manufacture or distribute our products commercially and/or the registration of pharmaceutical sales representatives in the jurisdiction. 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Healthcare and other reform legislation, may increase the difficulty and cost for us and any collaborators we may have to obtain marketing approval of and commercialize our product candidates, if approved, and affect the prices we, or they, may obtain.</w:t>
      </w:r>
    </w:p>
    <w:p>
      <w:pPr>
        <w:spacing w:after="0" w:line="18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ongoing efforts to implement legislative and regulatory changes regarding the healthcare system. Such changes could prevent or delay marketing approval of our product candidates,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9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Within the United States, the federal government and individual states have aggressively pursued healthcare reform, as evidenced by the passing of the ACA. The ACA substantially changed the way healthcare is financed by both governmental and private insurers and contains a number of provisions that affect coverage and reimbursement of drug products and/or that could potentially reduce the demand for pharmaceutical products.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96" w:lineRule="exact"/>
        <w:rPr>
          <w:sz w:val="20"/>
          <w:szCs w:val="20"/>
          <w:color w:val="auto"/>
        </w:rPr>
      </w:pPr>
    </w:p>
    <w:p>
      <w:pPr>
        <w:ind w:right="40" w:firstLine="720"/>
        <w:spacing w:after="0" w:line="241"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20" w:right="1440" w:bottom="175" w:gutter="0" w:footer="0" w:header="0"/>
        </w:sectPr>
      </w:pPr>
    </w:p>
    <w:bookmarkStart w:id="67" w:name="page68"/>
    <w:bookmarkEnd w:id="67"/>
    <w:p>
      <w:pPr>
        <w:ind w:right="520"/>
        <w:spacing w:after="0" w:line="277" w:lineRule="auto"/>
        <w:rPr>
          <w:sz w:val="20"/>
          <w:szCs w:val="20"/>
          <w:color w:val="auto"/>
        </w:rPr>
      </w:pPr>
      <w:r>
        <w:rPr>
          <w:rFonts w:ascii="Times New Roman" w:cs="Times New Roman" w:eastAsia="Times New Roman" w:hAnsi="Times New Roman"/>
          <w:sz w:val="20"/>
          <w:szCs w:val="20"/>
          <w:color w:val="auto"/>
        </w:rPr>
        <w:t>Congress may introduce and ultimately pass health care related legislation that could impact the drug approval process and make changes to the Medicare Drug Price Negotiation Program.</w:t>
      </w:r>
    </w:p>
    <w:p>
      <w:pPr>
        <w:spacing w:after="0" w:line="159"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73"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Even if we obtain coverage for our product candidates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212"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auto"/>
        </w:rPr>
        <w:t>Third-party payors increasingly are challenging prices charged for pharmaceutical, biopharmaceutical and biotechnology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cost of the less expensive product. Even if we show improved efficacy or improved convenience of administration with our product candidates, pricing of existing third-party therapeutics may limit the amounts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investment in the development of product candidates.</w:t>
      </w:r>
    </w:p>
    <w:p>
      <w:pPr>
        <w:spacing w:after="0" w:line="19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201"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Further,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20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20" w:right="1440" w:bottom="175"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20"/>
          <w:szCs w:val="20"/>
          <w:color w:val="auto"/>
        </w:rPr>
        <w:t>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8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Outside the United States, international operations are generally subject to extensive governmental price controls and other market regulations, and we believe the increasing emphasis on cost-containment initiatives in Europe and other foreign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amounts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04"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92"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4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95"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88"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auto"/>
        </w:rPr>
        <w:t>We may be subject to numerous laws and regulations in each jurisdiction outside the United States in which we may operate. The creation, implementation and maintenance of international business practices compliance programs is costly and such programs are difficult to enforce, particularly where reliance on third parties is required.</w:t>
      </w:r>
    </w:p>
    <w:p>
      <w:pPr>
        <w:spacing w:after="0" w:line="171"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auto"/>
        </w:rPr>
        <w:t>The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20" w:right="1440" w:bottom="175" w:gutter="0" w:footer="0" w:header="0"/>
        </w:sectPr>
      </w:pPr>
    </w:p>
    <w:bookmarkStart w:id="69" w:name="page70"/>
    <w:bookmarkEnd w:id="69"/>
    <w:p>
      <w:pPr>
        <w:ind w:right="60"/>
        <w:spacing w:after="0" w:line="247" w:lineRule="auto"/>
        <w:rPr>
          <w:sz w:val="20"/>
          <w:szCs w:val="20"/>
          <w:color w:val="auto"/>
        </w:rPr>
      </w:pPr>
      <w:r>
        <w:rPr>
          <w:rFonts w:ascii="Times New Roman" w:cs="Times New Roman" w:eastAsia="Times New Roman" w:hAnsi="Times New Roman"/>
          <w:sz w:val="20"/>
          <w:szCs w:val="20"/>
          <w:color w:val="auto"/>
        </w:rPr>
        <w:t>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200" w:lineRule="exact"/>
        <w:rPr>
          <w:sz w:val="20"/>
          <w:szCs w:val="20"/>
          <w:color w:val="auto"/>
        </w:rPr>
      </w:pPr>
    </w:p>
    <w:p>
      <w:pPr>
        <w:ind w:right="500" w:firstLine="490"/>
        <w:spacing w:after="0" w:line="245" w:lineRule="auto"/>
        <w:rPr>
          <w:sz w:val="20"/>
          <w:szCs w:val="20"/>
          <w:color w:val="auto"/>
        </w:rPr>
      </w:pPr>
      <w:r>
        <w:rPr>
          <w:rFonts w:ascii="Times New Roman" w:cs="Times New Roman" w:eastAsia="Times New Roman" w:hAnsi="Times New Roman"/>
          <w:sz w:val="20"/>
          <w:szCs w:val="20"/>
          <w:color w:val="auto"/>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1"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203"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privacy and information security laws, regulations, industry standards, policies, contractual obligations and other obligations related to privacy and information security. Our (or the third parties with whom we work) actual or perceived failure to comply with such obligations could adversely affect our business.</w:t>
      </w:r>
    </w:p>
    <w:p>
      <w:pPr>
        <w:spacing w:after="0" w:line="19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information about patients and clinical trial data (collectively, sensitive data).</w:t>
      </w:r>
    </w:p>
    <w:p>
      <w:pPr>
        <w:spacing w:after="0" w:line="197" w:lineRule="exact"/>
        <w:rPr>
          <w:sz w:val="20"/>
          <w:szCs w:val="20"/>
          <w:color w:val="auto"/>
        </w:rPr>
      </w:pPr>
    </w:p>
    <w:p>
      <w:pPr>
        <w:ind w:right="280" w:firstLine="490"/>
        <w:spacing w:after="0" w:line="244" w:lineRule="auto"/>
        <w:rPr>
          <w:sz w:val="20"/>
          <w:szCs w:val="20"/>
          <w:color w:val="auto"/>
        </w:rPr>
      </w:pPr>
      <w:r>
        <w:rPr>
          <w:rFonts w:ascii="Times New Roman" w:cs="Times New Roman" w:eastAsia="Times New Roman" w:hAnsi="Times New Roman"/>
          <w:sz w:val="20"/>
          <w:szCs w:val="20"/>
          <w:color w:val="auto"/>
        </w:rPr>
        <w:t>Our data processing activities subject us to numerous data privacy and security obligations, such as various laws, regulations, guidance, industry standards, external and internal privacy and security policies, contractual requirements, and other obligations. The legislative and regulatory landscape for privacy and data protection continues to evolve in jurisdictions worldwide, and there has been an increasing focus on privacy and data protection issues with the potential to affect our business. Actual or perceived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206"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20" w:right="1440" w:bottom="175" w:gutter="0" w:footer="0" w:header="0"/>
        </w:sectPr>
      </w:pPr>
    </w:p>
    <w:bookmarkStart w:id="70" w:name="page71"/>
    <w:bookmarkEnd w:id="70"/>
    <w:p>
      <w:pPr>
        <w:ind w:right="60"/>
        <w:spacing w:after="0" w:line="241" w:lineRule="auto"/>
        <w:rPr>
          <w:sz w:val="20"/>
          <w:szCs w:val="20"/>
          <w:color w:val="auto"/>
        </w:rPr>
      </w:pPr>
      <w:r>
        <w:rPr>
          <w:rFonts w:ascii="Times New Roman" w:cs="Times New Roman" w:eastAsia="Times New Roman" w:hAnsi="Times New Roman"/>
          <w:sz w:val="20"/>
          <w:szCs w:val="20"/>
          <w:color w:val="auto"/>
        </w:rPr>
        <w:t>Technology for Economic and Clinical Health Act (“HITECH”), imposes specific requirements relating to the privacy, security, and transmission of individually identifiable protected health information. In addition,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“CCPA”), applies to personal data of consumers, business representatives, and employees who are California residents, and requires businesses to provide specific disclosures in privacy notices and honor requests of such individuals to exercise certain privacy rights. Although there are minimum revenue thresholds for companies to be subject to these laws and there are limited exemptions for clinical trial data under the CCPA and similar state comprehensive privacy laws, such laws may impact (possibly significantly) our business activities depending on how they are interpreted, should we become subject to the CCPA or such state comprehensive privacy laws in the future.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with whom we work.</w:t>
      </w:r>
    </w:p>
    <w:p>
      <w:pPr>
        <w:spacing w:after="0" w:line="221"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Outside the United States, and increasing number of laws govern data privacy and security. For example, the European Union’s General Data Protection Regulation (“EU GDPR)”, the United Kingdom’s GDPR (“UK GDPR”)(collectively,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201" w:lineRule="exact"/>
        <w:rPr>
          <w:sz w:val="20"/>
          <w:szCs w:val="20"/>
          <w:color w:val="auto"/>
        </w:rPr>
      </w:pPr>
    </w:p>
    <w:p>
      <w:pPr>
        <w:ind w:right="40" w:firstLine="490"/>
        <w:spacing w:after="0" w:line="241" w:lineRule="auto"/>
        <w:rPr>
          <w:sz w:val="20"/>
          <w:szCs w:val="20"/>
          <w:color w:val="auto"/>
        </w:rPr>
      </w:pPr>
      <w:r>
        <w:rPr>
          <w:rFonts w:ascii="Times New Roman" w:cs="Times New Roman" w:eastAsia="Times New Roman" w:hAnsi="Times New Roman"/>
          <w:sz w:val="20"/>
          <w:szCs w:val="20"/>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 -certify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pacing w:after="0" w:line="211"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20" w:right="1440" w:bottom="175" w:gutter="0" w:footer="0" w:header="0"/>
        </w:sectPr>
      </w:pPr>
    </w:p>
    <w:bookmarkStart w:id="71" w:name="page72"/>
    <w:bookmarkEnd w:id="71"/>
    <w:p>
      <w:pPr>
        <w:ind w:right="260"/>
        <w:spacing w:after="0" w:line="258" w:lineRule="auto"/>
        <w:rPr>
          <w:sz w:val="20"/>
          <w:szCs w:val="20"/>
          <w:color w:val="auto"/>
        </w:rPr>
      </w:pPr>
      <w:r>
        <w:rPr>
          <w:rFonts w:ascii="Times New Roman" w:cs="Times New Roman" w:eastAsia="Times New Roman" w:hAnsi="Times New Roman"/>
          <w:sz w:val="20"/>
          <w:szCs w:val="20"/>
          <w:color w:val="auto"/>
        </w:rPr>
        <w:t>individuals and investor agreements. Violations of the rule could lead to significant civil and criminal fines and penalties. The rule applies regardless of whether data is anonymized, key-coded, pseudonymized, de-identified or encrypted.</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20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In addition to data privacy and security laws, we are bound by other contractual obligations related to data privacy and security, and our efforts to comply with such obligations may not be successful. We publish privacy policies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9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are unable to properly protect the privacy and security of sensitive data in our possession, we could be found to have breached our contracts. Further, if we fail to comply with applicable privacy and security laws, including applicable HIPAA privacy and security standards, we could face significant consequences, including but not limited to: government enforcement actions (e.g., administrative, civil and criminal penalties, investigations, audits, inspections, and similar); litigation (including class-action claims); additional reporting requirements and/or oversight; bans on processing personal data (including clinical trial data); and orders to destroy or not use personal data. In addition, our ongoing efforts to comply with evolving privacy and data security laws and regulations have been and may in the future be costly and require ongoing modifications to our policies, procedures and systems.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Managing Growth and Information Technology</w:t>
      </w:r>
    </w:p>
    <w:p>
      <w:pPr>
        <w:spacing w:after="0" w:line="23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our Chief Executive Officer and other key executives and to attract, retain and motivate qualified personnel.</w:t>
      </w:r>
    </w:p>
    <w:p>
      <w:pPr>
        <w:spacing w:after="0" w:line="16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We are highly dependent on Jean-Paul Kress, our Chief Executive Officer, as well as the other principal members of our management and scientific teams. Dr. Kress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Recruiting and retaining qualified scientific and clinical personnel and, if we progress the development of our product candidates toward scaling up for commercialization,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20" w:right="1440" w:bottom="175" w:gutter="0" w:footer="0" w:header="0"/>
        </w:sectPr>
      </w:pPr>
    </w:p>
    <w:bookmarkStart w:id="72" w:name="page73"/>
    <w:bookmarkEnd w:id="72"/>
    <w:p>
      <w:pPr>
        <w:ind w:right="20"/>
        <w:spacing w:after="0" w:line="247" w:lineRule="auto"/>
        <w:rPr>
          <w:sz w:val="20"/>
          <w:szCs w:val="20"/>
          <w:color w:val="auto"/>
        </w:rPr>
      </w:pPr>
      <w:r>
        <w:rPr>
          <w:rFonts w:ascii="Times New Roman" w:cs="Times New Roman" w:eastAsia="Times New Roman" w:hAnsi="Times New Roman"/>
          <w:sz w:val="20"/>
          <w:szCs w:val="20"/>
          <w:color w:val="auto"/>
        </w:rPr>
        <w:t>our research and development and commercialization strategy. Our consultants and advisors, including our scientific founder,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8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1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growth and advancement of our pipeline, we expect to increase the number of our employees and the scope of our operations, particularly in the areas of drug development, regulatory affairs, manufacturing and, as our product candidates advance through later stages of clinical development,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201"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policies may be inadequate and potentially expose us to unrecoverable risks.</w:t>
      </w:r>
    </w:p>
    <w:p>
      <w:pPr>
        <w:spacing w:after="0" w:line="23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We have limited director and officer insurance and commercial insurance policies. Any significant insurance claims would have a material adverse effect on our business, financial condition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We have observed rapidly changing conditions in the insurance markets relating to nearly all areas of traditional corporate insurance. Such conditions have resulted in higher premium costs, higher policy deductibles and lower coverage limits. For some risks, we may not have or maintain insurance coverage because of cost or availability.</w:t>
      </w:r>
    </w:p>
    <w:p>
      <w:pPr>
        <w:spacing w:after="0" w:line="19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our third-party vendors, collaborators, or other contractors or consultants or other third parties with whom we work, or our data are or were compromised, we could experience adverse consequences resulting from such compromise, including but not limited to a material disruption of our product development programs, regulatory investigations or actions, litigation, fines and penalties, reputational harm and other adverse consequences.</w:t>
      </w:r>
    </w:p>
    <w:p>
      <w:pPr>
        <w:spacing w:after="0" w:line="197" w:lineRule="exact"/>
        <w:rPr>
          <w:sz w:val="20"/>
          <w:szCs w:val="20"/>
          <w:color w:val="auto"/>
        </w:rPr>
      </w:pPr>
    </w:p>
    <w:p>
      <w:pPr>
        <w:ind w:right="200" w:firstLine="490"/>
        <w:spacing w:after="0" w:line="305" w:lineRule="auto"/>
        <w:rPr>
          <w:sz w:val="20"/>
          <w:szCs w:val="20"/>
          <w:color w:val="auto"/>
        </w:rPr>
      </w:pPr>
      <w:r>
        <w:rPr>
          <w:rFonts w:ascii="Times New Roman" w:cs="Times New Roman" w:eastAsia="Times New Roman" w:hAnsi="Times New Roman"/>
          <w:sz w:val="19"/>
          <w:szCs w:val="19"/>
          <w:color w:val="auto"/>
        </w:rPr>
        <w:t>In the ordinary course of our business, we and the third parties with whom we work process sensitive data, and, as a result, we and such third parties face a variety of evolving threats that could cause security incidents. Our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20" w:right="1440" w:bottom="175" w:gutter="0" w:footer="0" w:header="0"/>
        </w:sectPr>
      </w:pPr>
    </w:p>
    <w:bookmarkStart w:id="73" w:name="page74"/>
    <w:bookmarkEnd w:id="73"/>
    <w:p>
      <w:pPr>
        <w:ind w:right="20"/>
        <w:spacing w:after="0" w:line="242" w:lineRule="auto"/>
        <w:rPr>
          <w:sz w:val="20"/>
          <w:szCs w:val="20"/>
          <w:color w:val="auto"/>
        </w:rPr>
      </w:pPr>
      <w:r>
        <w:rPr>
          <w:rFonts w:ascii="Times New Roman" w:cs="Times New Roman" w:eastAsia="Times New Roman" w:hAnsi="Times New Roman"/>
          <w:sz w:val="20"/>
          <w:szCs w:val="20"/>
          <w:color w:val="auto"/>
        </w:rPr>
        <w:t>information technology systems and those of our current and any future third-party vendors, collaborators, consultants or other third parties with whom we work are subject to damage or interruption from a variety of evolving threats, including but not limited to social-engineering attacks (including through deep fakes, which are increasingly more difficult to identify as fake, and phishing attacks), computer viruses, computer hackers, malicious code (such as viruses and worms), malware (including as a result of advanced persistent threat intrusions), employee theft or misuse, supply-chain attacks, software bugs, server malfunctions, software or hardware failures, loss of data or other information technology assets, denial- of- service attacks, credential stuffing, credential harvesting, ransomware attacks, adware, attacks enhanced or facilitated by AI, sophisticated nation-state and nation-state-supported actors, unauthorized access, natural disasters, terrorism, war and telecommunication and electrical failures.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2"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200" w:lineRule="exact"/>
        <w:rPr>
          <w:sz w:val="20"/>
          <w:szCs w:val="20"/>
          <w:color w:val="auto"/>
        </w:rPr>
      </w:pPr>
    </w:p>
    <w:p>
      <w:pPr>
        <w:ind w:right="180" w:firstLine="490"/>
        <w:spacing w:after="0" w:line="245" w:lineRule="auto"/>
        <w:rPr>
          <w:sz w:val="20"/>
          <w:szCs w:val="20"/>
          <w:color w:val="auto"/>
        </w:rPr>
      </w:pPr>
      <w:r>
        <w:rPr>
          <w:rFonts w:ascii="Times New Roman" w:cs="Times New Roman" w:eastAsia="Times New Roman" w:hAnsi="Times New Roman"/>
          <w:sz w:val="20"/>
          <w:szCs w:val="20"/>
          <w:color w:val="auto"/>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92"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rely on third parties to operate critical business systems to process sensitive information in a variety of contexts.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 -related obligations to us, any award may be insufficient to cover our damages, or we may be unable to recover such award. In addition, supply - chain attacks have increased in frequency and severity, and we cannot guarantee that third parties’ infrastructure in our supply chain or that of the third parties with whom we work have not been compromised.</w:t>
      </w:r>
    </w:p>
    <w:p>
      <w:pPr>
        <w:spacing w:after="0" w:line="20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sensitive data or other disruptions. For example, the loss of clinical trial data from completed, ongoing or planned clinical trials could result in delays in our regulatory approval efforts and significantly increase our costs to recover or reproduce the data. If we were to experience a significant cybersecurity breach of our information systems or sensitive data, the costs associated with the investigation, remediation and potential notification of the breach to counterparties and data subjects could be material. In addition, our remediation efforts may not be successful. If we are unable to build and sustain the proper technology and cybersecurity infrastructure, we could suffer significant business disruption, including transaction errors, supply chain or manufacturing interruptions, processing inefficiencies, or the loss of or damage to sensitive data.</w:t>
      </w:r>
    </w:p>
    <w:p>
      <w:pPr>
        <w:spacing w:after="0" w:line="208" w:lineRule="exact"/>
        <w:rPr>
          <w:sz w:val="20"/>
          <w:szCs w:val="20"/>
          <w:color w:val="auto"/>
        </w:rPr>
      </w:pPr>
    </w:p>
    <w:p>
      <w:pPr>
        <w:ind w:right="200" w:firstLine="490"/>
        <w:spacing w:after="0" w:line="278" w:lineRule="auto"/>
        <w:rPr>
          <w:sz w:val="20"/>
          <w:szCs w:val="20"/>
          <w:color w:val="auto"/>
        </w:rPr>
      </w:pPr>
      <w:r>
        <w:rPr>
          <w:rFonts w:ascii="Times New Roman" w:cs="Times New Roman" w:eastAsia="Times New Roman" w:hAnsi="Times New Roman"/>
          <w:sz w:val="19"/>
          <w:szCs w:val="19"/>
          <w:color w:val="auto"/>
        </w:rPr>
        <w:t>Although we have implemented security measures designed to help protect sensitive data from unauthorized access or disclosure, our information technology and infrastructure may be vulnerable in the future to attacks by hackers or viruses, failures, or breaches due to third-party action, employee negligence or error, malfeasance, 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175" w:gutter="0" w:footer="0" w:header="0"/>
        </w:sectPr>
      </w:pPr>
    </w:p>
    <w:bookmarkStart w:id="74" w:name="page75"/>
    <w:bookmarkEnd w:id="74"/>
    <w:p>
      <w:pPr>
        <w:ind w:right="120"/>
        <w:spacing w:after="0" w:line="244" w:lineRule="auto"/>
        <w:rPr>
          <w:sz w:val="20"/>
          <w:szCs w:val="20"/>
          <w:color w:val="auto"/>
        </w:rPr>
      </w:pPr>
      <w:r>
        <w:rPr>
          <w:rFonts w:ascii="Times New Roman" w:cs="Times New Roman" w:eastAsia="Times New Roman" w:hAnsi="Times New Roman"/>
          <w:sz w:val="20"/>
          <w:szCs w:val="20"/>
          <w:color w:val="auto"/>
        </w:rPr>
        <w:t>other incidents or disruptions. For example, we have been the target of phishing attacks in the past and we expect such attacks will continue in the future. Furthermore, while we have implemented data privacy and security measures that are designed to comply with applicable laws and regulations relating to privacy and data protection, some health-related and other personal information or confidential information may be transmitted to us or processed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health-related and other personal information or confidential information to us or process such information on our behalf. While we may be entitled to damages if our third-party service providers fail to satisfy their privacy or security-related obligations to us, any award may be insufficient to cover our damages, or we may be unable to recover such award.</w:t>
      </w:r>
    </w:p>
    <w:p>
      <w:pPr>
        <w:spacing w:after="0" w:line="201"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deploying remedial measures and patches designed to address identified vulnerabilities. Vulnerabilities could be exploited and result in a security incident. Any of the previously identified or similar threats may in the future cause a security incident or other interruption that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 with whom we work to provide our services. We may in the future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203"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To the extent that we or third parties with whom we work are found to have violated data security laws, rules or regulations or if we (or a third party with whom we work) experience a security incident or are perceived to have experienced a security incident, including an incident that results in a loss of, or damage to, our or our third-party vendors’, collaborators’, consultants’ or other third parties with whom we work data or systems, or inappropriate disclosure of confidential or proprietary information, we could experience material adverse consequences including but not limited to litigation exposure (including class claims), government enforcement actions (for example, investigations, penalties and fines, audits, and inspections); additional reporting requirements and/or oversight; indemnification obligations; restrictions on processing sensitive data (including clinical trial data); reputational harm; monetary fund diversions; diversion of management attention;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208" w:lineRule="exact"/>
        <w:rPr>
          <w:sz w:val="20"/>
          <w:szCs w:val="20"/>
          <w:color w:val="auto"/>
        </w:rPr>
      </w:pPr>
    </w:p>
    <w:p>
      <w:pPr>
        <w:jc w:val="both"/>
        <w:ind w:right="160" w:firstLine="490"/>
        <w:spacing w:after="0" w:line="249"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Ownership of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w:t>
      </w:r>
    </w:p>
    <w:p>
      <w:pPr>
        <w:spacing w:after="0" w:line="240"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There is a risk that an active trading market for our shares will not be sustained, which could put downward pressure on the market price of our common stock and thereby affect the ability of our stockholders to sell their shares. An inactive market may also impair our ability to raise capital to continue to fund operations by selling shares of our common stock and may impair our ability to acquire other companies or technologies by using our common stock as consideration.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20" w:right="1440" w:bottom="175" w:gutter="0" w:footer="0" w:header="0"/>
        </w:sectPr>
      </w:pPr>
    </w:p>
    <w:bookmarkStart w:id="75" w:name="page76"/>
    <w:bookmarkEnd w:id="75"/>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may be volatile.</w:t>
      </w:r>
    </w:p>
    <w:p>
      <w:pPr>
        <w:spacing w:after="0" w:line="24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Our stock price is, and is likely to continue to be, volatile. For example, our stock traded within a range of a high price of $53.40 and a low price of $3.03 per share for the period of January 1, 2025 through December 31, 2025. As a result of volatility, our stockholders may not be able to sell their common stock at or above the prices at which they purchased their shares. Some of the factors that may cause the market price of our common stock to fluctuate include:</w:t>
      </w:r>
    </w:p>
    <w:p>
      <w:pPr>
        <w:spacing w:after="0" w:line="91" w:lineRule="exact"/>
        <w:rPr>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 of existing or new competitive product candidates or technologies;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and results of clinical trials for our product candidates;</w:t>
      </w:r>
    </w:p>
    <w:p>
      <w:pPr>
        <w:spacing w:after="0" w:line="118" w:lineRule="exact"/>
        <w:rPr>
          <w:rFonts w:ascii="Symbol" w:cs="Symbol" w:eastAsia="Symbol" w:hAnsi="Symbol"/>
          <w:sz w:val="20"/>
          <w:szCs w:val="20"/>
          <w:color w:val="auto"/>
        </w:rPr>
      </w:pPr>
    </w:p>
    <w:p>
      <w:pPr>
        <w:ind w:left="980" w:right="740" w:hanging="492"/>
        <w:spacing w:after="0" w:line="262" w:lineRule="auto"/>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by RemeGen of clinical trial results for telitacicept in RemeGen’s development programs in Greater China;</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failure or discontinuation of any of our product development and research programs;</w:t>
      </w:r>
    </w:p>
    <w:p>
      <w:pPr>
        <w:spacing w:after="0" w:line="118" w:lineRule="exact"/>
        <w:rPr>
          <w:rFonts w:ascii="Symbol" w:cs="Symbol" w:eastAsia="Symbol" w:hAnsi="Symbol"/>
          <w:sz w:val="20"/>
          <w:szCs w:val="20"/>
          <w:color w:val="auto"/>
        </w:rPr>
      </w:pPr>
    </w:p>
    <w:p>
      <w:pPr>
        <w:ind w:left="980" w:right="120" w:hanging="492"/>
        <w:spacing w:after="0" w:line="290" w:lineRule="auto"/>
        <w:tabs>
          <w:tab w:leader="none" w:pos="980" w:val="left"/>
        </w:tabs>
        <w:numPr>
          <w:ilvl w:val="0"/>
          <w:numId w:val="44"/>
        </w:numPr>
        <w:rPr>
          <w:rFonts w:ascii="Symbol" w:cs="Symbol" w:eastAsia="Symbol" w:hAnsi="Symbol"/>
          <w:sz w:val="19"/>
          <w:szCs w:val="19"/>
          <w:color w:val="auto"/>
        </w:rPr>
      </w:pPr>
      <w:r>
        <w:rPr>
          <w:rFonts w:ascii="Times New Roman" w:cs="Times New Roman" w:eastAsia="Times New Roman" w:hAnsi="Times New Roman"/>
          <w:sz w:val="19"/>
          <w:szCs w:val="19"/>
          <w:color w:val="auto"/>
        </w:rPr>
        <w:t>results of preclinical studies, clinical trials or regulatory approvals of product candidates of our competitors, or announcements about new research programs or product candidates of our competitors;</w:t>
      </w:r>
    </w:p>
    <w:p>
      <w:pPr>
        <w:spacing w:after="0" w:line="49" w:lineRule="exact"/>
        <w:rPr>
          <w:rFonts w:ascii="Symbol" w:cs="Symbol" w:eastAsia="Symbol" w:hAnsi="Symbol"/>
          <w:sz w:val="19"/>
          <w:szCs w:val="19"/>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commencement or termination of collaborations for our product development and research programs;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19" w:lineRule="exact"/>
        <w:rPr>
          <w:rFonts w:ascii="Symbol" w:cs="Symbol" w:eastAsia="Symbol" w:hAnsi="Symbol"/>
          <w:sz w:val="20"/>
          <w:szCs w:val="20"/>
          <w:color w:val="auto"/>
        </w:rPr>
      </w:pPr>
    </w:p>
    <w:p>
      <w:pPr>
        <w:ind w:left="980" w:right="1060" w:hanging="492"/>
        <w:spacing w:after="0" w:line="262" w:lineRule="auto"/>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level of expenses related to any of our research programs, product candidates or clinical development programs;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results of our efforts to develop additional product candidates or products;</w:t>
      </w:r>
    </w:p>
    <w:p>
      <w:pPr>
        <w:spacing w:after="0" w:line="119" w:lineRule="exact"/>
        <w:rPr>
          <w:rFonts w:ascii="Symbol" w:cs="Symbol" w:eastAsia="Symbol" w:hAnsi="Symbol"/>
          <w:sz w:val="20"/>
          <w:szCs w:val="20"/>
          <w:color w:val="auto"/>
        </w:rPr>
      </w:pPr>
    </w:p>
    <w:p>
      <w:pPr>
        <w:ind w:left="980" w:right="1180" w:hanging="492"/>
        <w:spacing w:after="0" w:line="262" w:lineRule="auto"/>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sales of our common stock by us, our insiders or other stockholders;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estimates or recommendations by securities analysts, if any, that cover our stock;</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119" w:lineRule="exact"/>
        <w:rPr>
          <w:rFonts w:ascii="Symbol" w:cs="Symbol" w:eastAsia="Symbol" w:hAnsi="Symbol"/>
          <w:sz w:val="20"/>
          <w:szCs w:val="20"/>
          <w:color w:val="auto"/>
        </w:rPr>
      </w:pPr>
    </w:p>
    <w:p>
      <w:pPr>
        <w:ind w:left="980" w:right="400" w:hanging="492"/>
        <w:spacing w:after="0" w:line="261" w:lineRule="auto"/>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global or regional public health emergencies, and geopolitical instability, including terrorist attacks, civil unrest and actual or threatened armed conflict;</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44"/>
        </w:numPr>
        <w:rPr>
          <w:rFonts w:ascii="Symbol" w:cs="Symbol" w:eastAsia="Symbol" w:hAnsi="Symbol"/>
          <w:sz w:val="19"/>
          <w:szCs w:val="19"/>
          <w:color w:val="auto"/>
        </w:rPr>
      </w:pPr>
      <w:r>
        <w:rPr>
          <w:rFonts w:ascii="Times New Roman" w:cs="Times New Roman" w:eastAsia="Times New Roman" w:hAnsi="Times New Roman"/>
          <w:sz w:val="19"/>
          <w:szCs w:val="19"/>
          <w:color w:val="auto"/>
        </w:rPr>
        <w:t>general economic, industry and market conditions, including heightened interest rates and inflation; and</w:t>
      </w:r>
    </w:p>
    <w:p>
      <w:pPr>
        <w:spacing w:after="0" w:line="132" w:lineRule="exact"/>
        <w:rPr>
          <w:rFonts w:ascii="Symbol" w:cs="Symbol" w:eastAsia="Symbol" w:hAnsi="Symbol"/>
          <w:sz w:val="19"/>
          <w:szCs w:val="19"/>
          <w:color w:val="auto"/>
        </w:rPr>
      </w:pPr>
    </w:p>
    <w:p>
      <w:pPr>
        <w:ind w:left="980" w:hanging="492"/>
        <w:spacing w:after="0"/>
        <w:tabs>
          <w:tab w:leader="none" w:pos="980" w:val="left"/>
        </w:tabs>
        <w:numPr>
          <w:ilvl w:val="0"/>
          <w:numId w:val="44"/>
        </w:numPr>
        <w:rPr>
          <w:rFonts w:ascii="Symbol" w:cs="Symbol" w:eastAsia="Symbol" w:hAnsi="Symbol"/>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224"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which could result in substantial costs and divert management’s attention and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40" w:right="1440" w:bottom="175" w:gutter="0" w:footer="0" w:header="0"/>
        </w:sectPr>
      </w:pPr>
    </w:p>
    <w:bookmarkStart w:id="76" w:name="page77"/>
    <w:bookmarkEnd w:id="76"/>
    <w:p>
      <w:pPr>
        <w:spacing w:after="0" w:line="21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stock, the price of our stock could decline.</w:t>
      </w:r>
    </w:p>
    <w:p>
      <w:pPr>
        <w:spacing w:after="0" w:line="168"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auto"/>
        </w:rPr>
        <w:t>The trading market for our common stock will be influenced by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16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Our outstanding shares of common stock may be freely sold in the public market at any time to the extent permitted by Rules 144 and 701 under the Securities Act of 1933, as amended (the “Securities Act”), or to the extent such shares have already been registered under the Securities Act and are held by non-affiliates.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Moreover, holders of a substantial number of shares of our common stock have rights, subject to conditions, to require us to file registration statements covering their shares or to include their shares in registration statements that we may file for ourselves or other stockholders. For example, in December 2022 we filed a registration statement on Form S-3 to register the resale of up to 581,395 shares of common stock held by RA Capital Healthcare Fund L.P. which were purchased from us in a private placement, and in January 2025 we filed a registration statement on Form S-3 to register the resale of up to an aggregate of 6,285,515 shares of common stock held by Reprogrammed Interchange LLC and entities affiliated with RA Capital Management, L.P., consisting of (i) 2,793,562 shares of common stock and (ii) 3,491,953 shares of common stock issuable upon the exercise of outstanding warrants to purchase shares of common stock, which were purchased from us in a private placement. We have also filed a registration statement on Form S-3 to register the resale of up to 34,999,999 shares of common stock issuable upon exercise of outstanding warrants, which were purchased from us by certain institutional investors in a private placement, and 16,000,000 shares of common stock that are issuable upon exercise of a warrant to purchase common stock issued to RemeGen as partial consideration for our license agreement with RemeGen, as well as a registration statement on Form S-3 to register the resale of up to 13,876,032 shares of common stock purchased from us in December 2025. We have also agreed to file a registration statement on Form S-3 to register for resale up to 5,338,078 shares of common stock purchased from us in our 2026 Private Placement.</w:t>
      </w:r>
    </w:p>
    <w:p>
      <w:pPr>
        <w:spacing w:after="0" w:line="20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have also registered or will register all shares of common stock that we may issue under our equity compensation plans or that are issuable upon exercise of outstanding options on a registration statement on Form S-8 and will continue to register any additional shares that become available under such plans due to any annual, automatic increases under the terms of those plans.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91"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Insiders have substantial control over our company, which could limit the ability of our other stockholders to affect the outcome of key transactions, including a change of control.</w:t>
      </w:r>
    </w:p>
    <w:p>
      <w:pPr>
        <w:spacing w:after="0" w:line="16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Our executive officers and directors, combined with our stockholders who own more than 5% of our outstanding common stock, and their affiliates, in the aggregate, beneficially own shares representing a substantial amount of our outstanding common stock, as well as warrants to purchase shares of our common stock warrants, which, if exercised, would result in such stockholders owning an even larger percentage of our outstanding common stock. As a result, these stockholders, if they act together, may be able to influence our management and affairs and would control all matters requiring stockholder approval, including the election of directors and approval of significant corporate transactions, such as a merger or other sale of our company or its assets. This concentration of ownership may have the effect of delaying or preventing a change in control of our company or discouraging a potential acquirer from making a tender offer or otherwise attempting to obtain control, even if that change 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40" w:right="1440" w:bottom="175" w:gutter="0" w:footer="0" w:header="0"/>
        </w:sectPr>
      </w:pPr>
    </w:p>
    <w:bookmarkStart w:id="77" w:name="page78"/>
    <w:bookmarkEnd w:id="77"/>
    <w:p>
      <w:pPr>
        <w:ind w:right="120"/>
        <w:spacing w:after="0" w:line="258" w:lineRule="auto"/>
        <w:rPr>
          <w:sz w:val="20"/>
          <w:szCs w:val="20"/>
          <w:color w:val="auto"/>
        </w:rPr>
      </w:pPr>
      <w:r>
        <w:rPr>
          <w:rFonts w:ascii="Times New Roman" w:cs="Times New Roman" w:eastAsia="Times New Roman" w:hAnsi="Times New Roman"/>
          <w:sz w:val="20"/>
          <w:szCs w:val="20"/>
          <w:color w:val="auto"/>
        </w:rPr>
        <w:t>control would benefit our other stockholders. This significant concentration of ownership may also adversely affect the trading price for our common stock because investors often perceive disadvantages in owning stock in companies with controlling stockholders.</w:t>
      </w:r>
    </w:p>
    <w:p>
      <w:pPr>
        <w:spacing w:after="0" w:line="178"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16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9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85"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of 2012 (the “JOBS Act”). We will be an emerging growth company during this year and may remain an emerging growth company through 2026.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exemptions from the requirements of holding a nonbinding advisory vote on executive compensation and stockholder approval of any golden parachute payments not previously approved, and being permitted to provide only two years of audited financial statements. As a result, the information we provide stockholders will be different than the information that is available with respect to other public companies. For example, we did not include all of the executive compensation related information in our Annual Report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availed ourselves of this extended transition period and we cannot predict whether investors will find our common stock less attractive due to this election.</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are also a “smaller reporting company” and we may continue to be a smaller reporting company if either</w:t>
      </w:r>
    </w:p>
    <w:p>
      <w:pPr>
        <w:spacing w:after="0" w:line="27" w:lineRule="exact"/>
        <w:rPr>
          <w:sz w:val="20"/>
          <w:szCs w:val="20"/>
          <w:color w:val="auto"/>
        </w:rPr>
      </w:pPr>
    </w:p>
    <w:p>
      <w:pPr>
        <w:ind w:right="20"/>
        <w:spacing w:after="0" w:line="241" w:lineRule="auto"/>
        <w:tabs>
          <w:tab w:leader="none" w:pos="23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20" w:right="1440" w:bottom="175" w:gutter="0" w:footer="0" w:header="0"/>
        </w:sectPr>
      </w:pPr>
    </w:p>
    <w:bookmarkStart w:id="78" w:name="page79"/>
    <w:bookmarkEnd w:id="78"/>
    <w:p>
      <w:pPr>
        <w:ind w:right="960"/>
        <w:spacing w:after="0" w:line="277" w:lineRule="auto"/>
        <w:rPr>
          <w:sz w:val="20"/>
          <w:szCs w:val="20"/>
          <w:color w:val="auto"/>
        </w:rPr>
      </w:pPr>
      <w:r>
        <w:rPr>
          <w:rFonts w:ascii="Times New Roman" w:cs="Times New Roman" w:eastAsia="Times New Roman" w:hAnsi="Times New Roman"/>
          <w:sz w:val="20"/>
          <w:szCs w:val="20"/>
          <w:color w:val="auto"/>
        </w:rPr>
        <w:t>growth companies, smaller reporting companies have reduced disclosure obligations regarding executive compensation.</w:t>
      </w:r>
    </w:p>
    <w:p>
      <w:pPr>
        <w:spacing w:after="0" w:line="15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16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As a public company, and particularly after we are no longer an “emerging growth company,” we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continue to hire additional accounting, finance and other personnel in connection with our efforts to comply with the requirements of being, a public company, and our management and other personnel will need to continue to devote a substantial amount of time towards maintaining compliance with these requirements. These requirements have increased and will continue to increase our legal and financial compliance costs and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13"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Pursuant to SOX Section 404, we are required to furnish a report by our management on our internal control over financial reporting, but while we remain an emerging growth or a smaller reporting company with less than $100 million in annual revenue, we will not be required to include an attestation report on internal control over financial reporting issued by our independent registered public accounting firm. To maintain compliance with SOX Section 404 and achieve compliance within the prescribed period for the attestation report by our independent registered public accounting firm, we have and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broad discretion in the use of our cash reserves and may not use them effectively.</w:t>
      </w:r>
    </w:p>
    <w:p>
      <w:pPr>
        <w:spacing w:after="0" w:line="24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harm our business, financial condition, results of operations and prospects. Pending their use, we may invest our cash reserves in a manner that does not produce income or that loses value.</w:t>
      </w:r>
    </w:p>
    <w:p>
      <w:pPr>
        <w:spacing w:after="0" w:line="184"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do not expect to pay any dividends for the foreseeable future. Accordingly our stockholders must rely on capital appreciation, if any, for any return on their investment.</w:t>
      </w:r>
    </w:p>
    <w:p>
      <w:pPr>
        <w:spacing w:after="0" w:line="16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We have never declared or paid any cash dividends on our equity securities. We do not anticipate that we will pay any dividends to holders of our common stock in the foreseeable future. Instead, we plan to retain any earnings to maintain and expand our existing operations. In addition, any future credit facility that we enter into may contain terms prohibiting or limiting the amount of dividends that may be declared or paid on our common stock. As a result, capital appreciation, if any, of our common stock will be stockholders’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20" w:right="1440" w:bottom="175" w:gutter="0" w:footer="0" w:header="0"/>
        </w:sectPr>
      </w:pPr>
    </w:p>
    <w:bookmarkStart w:id="79" w:name="page80"/>
    <w:bookmarkEnd w:id="79"/>
    <w:p>
      <w:pPr>
        <w:spacing w:after="0" w:line="210"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new tariffs or bank closures could adversely affect our business, financial condition or results of operations.</w:t>
      </w:r>
    </w:p>
    <w:p>
      <w:pPr>
        <w:spacing w:after="0" w:line="1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including as a result of heightened inflation and interest rates. A severe or prolonged economic downturn, or additional global financial crises, including related to potential future pandemics, geopolitical issues, armed conflicts or U.S.-China trade and political tensions,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4"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Significant political, trade, or regulatory developments in the United States or other countries in which we have clinical trials, third party suppliers or service providers may have a material adverse effect on us. Similarly, changes in U.S. federal policy that affect the geopolitical landscape could give rise to circumstances outside our control that could have negative impacts on our business operations. We could also be affected by new and increased tariffs between the United States and other countries, including China. These additional tariffs and any retaliatory tariffs by other countries could substantially increase our costs associated with the manufacture and supply of our product candidates. The global trade environment is rapidly evolving, and the United States and other countries may impose additional new tariffs, the scope of which we are unable to predict but that may adversely impact our business. If our or the activities of our third party suppliers or service providers fall within the scope of any of these or other tariffs, our costs may increase significantly.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21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In addition, our available cash and cash equivalents are held in accounts managed by third party financial institutions and consist of cash in our operating accounts and cash invested in money market funds. At any point in time, the funds in our operating accounts may exceed the Federal Deposit Insurance Corporation insurance limits. While we monitor the cash balances in our operating accounts and adjust the cash balances as appropriate, these cash balances could be impacted if the underlying financial institutions fail. We can provide no assurances that access to our operating cash or invested cash and cash equivalents will not be impacted by adverse conditions in the financial markets.</w:t>
      </w:r>
    </w:p>
    <w:p>
      <w:pPr>
        <w:spacing w:after="0" w:line="189"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under Delaware law could make a change in control of us, which may be beneficial to our stockholders, more difficult and may prevent attempts by our stockholders to replace or remove our current management.</w:t>
      </w:r>
    </w:p>
    <w:p>
      <w:pPr>
        <w:spacing w:after="0" w:line="18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6" w:lineRule="exact"/>
        <w:rPr>
          <w:sz w:val="20"/>
          <w:szCs w:val="20"/>
          <w:color w:val="auto"/>
        </w:rPr>
      </w:pPr>
    </w:p>
    <w:p>
      <w:pPr>
        <w:ind w:left="980" w:hanging="492"/>
        <w:spacing w:after="0"/>
        <w:tabs>
          <w:tab w:leader="none" w:pos="98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classified board of directors such that not all members of the board are elected at one time;</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limit the manner in which stockholders can remove directors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40" w:right="1440" w:bottom="175" w:gutter="0" w:footer="0" w:header="0"/>
        </w:sectPr>
      </w:pPr>
    </w:p>
    <w:bookmarkStart w:id="80" w:name="page81"/>
    <w:bookmarkEnd w:id="80"/>
    <w:p>
      <w:pPr>
        <w:ind w:left="980" w:right="440" w:hanging="492"/>
        <w:spacing w:after="0" w:line="261" w:lineRule="auto"/>
        <w:tabs>
          <w:tab w:leader="none" w:pos="98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nominations to our board of directors;</w:t>
      </w:r>
    </w:p>
    <w:p>
      <w:pPr>
        <w:spacing w:after="0" w:line="77" w:lineRule="exact"/>
        <w:rPr>
          <w:rFonts w:ascii="Symbol" w:cs="Symbol" w:eastAsia="Symbol" w:hAnsi="Symbol"/>
          <w:sz w:val="20"/>
          <w:szCs w:val="20"/>
          <w:color w:val="auto"/>
        </w:rPr>
      </w:pPr>
    </w:p>
    <w:p>
      <w:pPr>
        <w:ind w:left="980" w:right="520" w:hanging="492"/>
        <w:spacing w:after="0" w:line="262" w:lineRule="auto"/>
        <w:tabs>
          <w:tab w:leader="none" w:pos="98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119" w:lineRule="exact"/>
        <w:rPr>
          <w:rFonts w:ascii="Symbol" w:cs="Symbol" w:eastAsia="Symbol" w:hAnsi="Symbol"/>
          <w:sz w:val="20"/>
          <w:szCs w:val="20"/>
          <w:color w:val="auto"/>
        </w:rPr>
      </w:pPr>
    </w:p>
    <w:p>
      <w:pPr>
        <w:ind w:left="980" w:right="80" w:hanging="492"/>
        <w:spacing w:after="0" w:line="247" w:lineRule="auto"/>
        <w:tabs>
          <w:tab w:leader="none" w:pos="98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91" w:lineRule="exact"/>
        <w:rPr>
          <w:rFonts w:ascii="Symbol" w:cs="Symbol" w:eastAsia="Symbol" w:hAnsi="Symbol"/>
          <w:sz w:val="20"/>
          <w:szCs w:val="20"/>
          <w:color w:val="auto"/>
        </w:rPr>
      </w:pPr>
    </w:p>
    <w:p>
      <w:pPr>
        <w:ind w:left="980" w:right="460" w:hanging="492"/>
        <w:spacing w:after="0" w:line="230" w:lineRule="auto"/>
        <w:tabs>
          <w:tab w:leader="none" w:pos="980" w:val="left"/>
        </w:tabs>
        <w:numPr>
          <w:ilvl w:val="0"/>
          <w:numId w:val="47"/>
        </w:numPr>
        <w:rPr>
          <w:rFonts w:ascii="Symbol" w:cs="Symbol" w:eastAsia="Symbol" w:hAnsi="Symbol"/>
          <w:sz w:val="20"/>
          <w:szCs w:val="20"/>
          <w:color w:val="auto"/>
        </w:rPr>
      </w:pPr>
      <w:r>
        <w:rPr>
          <w:rFonts w:ascii="Times New Roman" w:cs="Times New Roman" w:eastAsia="Times New Roman" w:hAnsi="Times New Roman"/>
          <w:sz w:val="20"/>
          <w:szCs w:val="20"/>
          <w:color w:val="auto"/>
        </w:rPr>
        <w:t>require the approval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of the votes that all our stockholders would be entitled to cast to amend or repeal certain provisions of our charter or bylaws.</w:t>
      </w:r>
    </w:p>
    <w:p>
      <w:pPr>
        <w:spacing w:after="0" w:line="20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common stock.</w:t>
      </w:r>
    </w:p>
    <w:p>
      <w:pPr>
        <w:spacing w:after="0" w:line="19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94" w:lineRule="exact"/>
        <w:rPr>
          <w:sz w:val="20"/>
          <w:szCs w:val="20"/>
          <w:color w:val="auto"/>
        </w:rPr>
      </w:pPr>
    </w:p>
    <w:p>
      <w:pPr>
        <w:jc w:val="both"/>
        <w:ind w:right="480" w:firstLine="490"/>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83" w:lineRule="exact"/>
        <w:rPr>
          <w:sz w:val="20"/>
          <w:szCs w:val="20"/>
          <w:color w:val="auto"/>
        </w:rPr>
      </w:pPr>
    </w:p>
    <w:p>
      <w:pPr>
        <w:ind w:left="980" w:hanging="492"/>
        <w:spacing w:after="0"/>
        <w:tabs>
          <w:tab w:leader="none" w:pos="98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118" w:lineRule="exact"/>
        <w:rPr>
          <w:rFonts w:ascii="Symbol" w:cs="Symbol" w:eastAsia="Symbol" w:hAnsi="Symbol"/>
          <w:sz w:val="20"/>
          <w:szCs w:val="20"/>
          <w:color w:val="auto"/>
        </w:rPr>
      </w:pPr>
    </w:p>
    <w:p>
      <w:pPr>
        <w:ind w:left="980" w:hanging="492"/>
        <w:spacing w:after="0"/>
        <w:tabs>
          <w:tab w:leader="none" w:pos="98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any action asserting a breach of fiduciary duty;</w:t>
      </w:r>
    </w:p>
    <w:p>
      <w:pPr>
        <w:spacing w:after="0" w:line="119" w:lineRule="exact"/>
        <w:rPr>
          <w:rFonts w:ascii="Symbol" w:cs="Symbol" w:eastAsia="Symbol" w:hAnsi="Symbol"/>
          <w:sz w:val="20"/>
          <w:szCs w:val="20"/>
          <w:color w:val="auto"/>
        </w:rPr>
      </w:pPr>
    </w:p>
    <w:p>
      <w:pPr>
        <w:ind w:left="980" w:right="100" w:hanging="492"/>
        <w:spacing w:after="0" w:line="262" w:lineRule="auto"/>
        <w:tabs>
          <w:tab w:leader="none" w:pos="98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any action asserting a claim against us arising under the DGCL, our amended and restated certificate of incorporation or our amended and restated bylaws; and</w:t>
      </w:r>
    </w:p>
    <w:p>
      <w:pPr>
        <w:spacing w:after="0" w:line="75" w:lineRule="exact"/>
        <w:rPr>
          <w:rFonts w:ascii="Symbol" w:cs="Symbol" w:eastAsia="Symbol" w:hAnsi="Symbol"/>
          <w:sz w:val="20"/>
          <w:szCs w:val="20"/>
          <w:color w:val="auto"/>
        </w:rPr>
      </w:pPr>
    </w:p>
    <w:p>
      <w:pPr>
        <w:ind w:left="980" w:hanging="492"/>
        <w:spacing w:after="0"/>
        <w:tabs>
          <w:tab w:leader="none" w:pos="98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any action asserting a claim against us that is governed by the internal-affairs doctrine.</w:t>
      </w:r>
    </w:p>
    <w:p>
      <w:pPr>
        <w:spacing w:after="0" w:line="225"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This provision would not apply to suits brought to enforce a duty or liability created by the Securities Exchange Act of 1934, as amended.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which may discourage lawsuits against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35" w:right="1440" w:bottom="175" w:gutter="0" w:footer="0" w:header="0"/>
        </w:sectPr>
      </w:pPr>
    </w:p>
    <w:bookmarkStart w:id="81" w:name="page82"/>
    <w:bookmarkEnd w:id="81"/>
    <w:p>
      <w:pPr>
        <w:spacing w:after="0" w:line="278" w:lineRule="auto"/>
        <w:rPr>
          <w:sz w:val="20"/>
          <w:szCs w:val="20"/>
          <w:color w:val="auto"/>
        </w:rPr>
      </w:pPr>
      <w:r>
        <w:rPr>
          <w:rFonts w:ascii="Times New Roman" w:cs="Times New Roman" w:eastAsia="Times New Roman" w:hAnsi="Times New Roman"/>
          <w:sz w:val="19"/>
          <w:szCs w:val="19"/>
          <w:color w:val="auto"/>
        </w:rPr>
        <w:t>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0" w:right="1440" w:bottom="175"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39"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and strategic or competitive in nature, and our clinical trial and related data (“Information Systems and Data”).</w:t>
      </w:r>
    </w:p>
    <w:p>
      <w:pPr>
        <w:spacing w:after="0" w:line="19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Our information security function, legal, and third-party service providers (collectively, the “Information Security Function”) help identify, assess, and manage the Company’s cybersecurity threats and risks. The Information Security Function identifies and assesses risks from cybersecurity threats by monitoring and evaluating the Company’s threat environment and risk profile using various methods and tools including, for example: manual and automated tools, subscribing to reports and services that identify cybersecurity threats, and evaluating threats reported to us. We have also initiated a third party threat assessment and are implementing ongoing monitoring and response services.</w:t>
      </w:r>
    </w:p>
    <w:p>
      <w:pPr>
        <w:spacing w:after="0" w:line="19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Depending on the environment, systems and data at issue, the Company implements and maintains technical, physical, and organizational measures designed to manage and mitigate material risks from cybersecurity threats to our Information Systems and Data. These measures include, for example: incident detection and response, encryption of certain data, access and network security controls, data segregation, physical security, systems monitoring, employee training, and cybersecurity insurance. Our assessment and management of material risks from cybersecurity threats are integrated into the Company’s overall risk management processes. This information is reviewed with the Company's extended leadership team and communicated to the audit committee of the board of directors, which evaluates the Company's risks relating to data privacy, technology and information security, including cybersecurity.</w:t>
      </w:r>
    </w:p>
    <w:p>
      <w:pPr>
        <w:spacing w:after="0" w:line="206"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the Company’s overall risk management processes. Key cybersecurity risks are reviewed with the Company's extended leadership team and communicated to the Audit Committee of the Board of Directors, which evaluates the Company's risks relating to data privacy, technology and information security, including cybersecurity.</w:t>
      </w:r>
    </w:p>
    <w:p>
      <w:pPr>
        <w:spacing w:after="0" w:line="194" w:lineRule="exact"/>
        <w:rPr>
          <w:sz w:val="20"/>
          <w:szCs w:val="20"/>
          <w:color w:val="auto"/>
        </w:rPr>
      </w:pPr>
    </w:p>
    <w:p>
      <w:pPr>
        <w:ind w:right="220" w:firstLine="720"/>
        <w:spacing w:after="0" w:line="244" w:lineRule="auto"/>
        <w:rPr>
          <w:sz w:val="20"/>
          <w:szCs w:val="20"/>
          <w:color w:val="auto"/>
        </w:rPr>
      </w:pPr>
      <w:r>
        <w:rPr>
          <w:rFonts w:ascii="Times New Roman" w:cs="Times New Roman" w:eastAsia="Times New Roman" w:hAnsi="Times New Roman"/>
          <w:sz w:val="20"/>
          <w:szCs w:val="20"/>
          <w:color w:val="auto"/>
        </w:rPr>
        <w:t>We leverage third-party service providers to assist us from time to time to identify, assess, and manage material risks from cybersecurity threats, including cybersecurity consultants, cybersecurity software providers, managed cybersecurity service providers, external legal counsel, and dark web monitoring services. We maintain access to third-party forensic investigation services and may engage such services in connection with significant cybersecurity incidents. We also use third-party service providers to perform a variety of functions throughout our business, such as application providers and hosting companies.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20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the Company and how they may do so, see our risk factors under Part 1. Item 1A. Risk Factors in this Annual Report on Form 10-K, including “If our information technology systems, or those of our third-party vendors, collaborators, or other contractors or consultants or other third parties with whom we work, or our data are or were compromised, we could experience adverse consequences resulting from such compromise, including but not limited to a material disruption of our product development programs, regulatory investigations or actions, litigation, fines and penalties, reputational harm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16" w:right="1440" w:bottom="175"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39" w:lineRule="exact"/>
        <w:rPr>
          <w:sz w:val="20"/>
          <w:szCs w:val="20"/>
          <w:color w:val="auto"/>
        </w:rPr>
      </w:pPr>
    </w:p>
    <w:p>
      <w:pPr>
        <w:ind w:right="460" w:firstLine="490"/>
        <w:spacing w:after="0" w:line="259" w:lineRule="auto"/>
        <w:rPr>
          <w:sz w:val="20"/>
          <w:szCs w:val="20"/>
          <w:color w:val="auto"/>
        </w:rPr>
      </w:pPr>
      <w:r>
        <w:rPr>
          <w:rFonts w:ascii="Times New Roman" w:cs="Times New Roman" w:eastAsia="Times New Roman" w:hAnsi="Times New Roman"/>
          <w:sz w:val="20"/>
          <w:szCs w:val="20"/>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18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the Head of Digital, Data and Technology, who oversees the Information Security Management System (ISMS) and Information Security Team. Our Chief Financial Officer is responsible for strategic leadership of our cybersecurity risk management program, hiring appropriate personnel, approving budgets, helping to integrate cybersecurity risk considerations into the Company’s overall risk management strategy, and communicating key priorities to relevant personnel. The Head of Digital role is currently held by an individual who has several years of professional IT management experience. He leads the operational and ISMS oversight of company-wide cybersecurity strategy, policy, standards and processes and works across relevant departments to assess and help prepare employees and third-party service providers to address cybersecurity risks. We also have a Director of IT, who oversees our Infrastructure and Service Desk Department.</w:t>
      </w:r>
    </w:p>
    <w:p>
      <w:pPr>
        <w:spacing w:after="0" w:line="20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Our cybersecurity incident response plan is designed to escalate certain cybersecurity incidents to members of management depending on the circumstances, including the General Counsel, the Chief Financial Officer, and the Chief Executive Officer. The Company’s information technology department and managed service partners work with the Company’s incident response team to help the Company mitigate and remediate cybersecurity incidents of which they are notified. In addition, the Company’s incident response plan includes reporting to the Audit Committee of the Board of Directors and the chair of the Board of Directors for certain cybersecurity incidents. The Audit Committee of the Board of Directors periodically receives summaries or presentations from management concerning the Company’s significant cybersecurity threats and risk and the processes the Company has implemented to address them.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3" w:lineRule="exact"/>
        <w:rPr>
          <w:sz w:val="20"/>
          <w:szCs w:val="20"/>
          <w:color w:val="auto"/>
        </w:rPr>
      </w:pPr>
    </w:p>
    <w:p>
      <w:pPr>
        <w:ind w:right="20" w:firstLine="612"/>
        <w:spacing w:after="0" w:line="252" w:lineRule="auto"/>
        <w:rPr>
          <w:sz w:val="20"/>
          <w:szCs w:val="20"/>
          <w:color w:val="auto"/>
        </w:rPr>
      </w:pPr>
      <w:r>
        <w:rPr>
          <w:rFonts w:ascii="Times New Roman" w:cs="Times New Roman" w:eastAsia="Times New Roman" w:hAnsi="Times New Roman"/>
          <w:sz w:val="20"/>
          <w:szCs w:val="20"/>
          <w:color w:val="auto"/>
        </w:rPr>
        <w:t>Our principal executive office is located at 500 Boylston Street, Suite 1350, Boston, Massachusetts where we lease approximately 8,391 square feet of office space pursuant to a lease that expires in August 2031. We believe that this facility will be adequate for our near-term needs. If required, we believe that suitable additional or alternative space would be available in the future on commercially reasonable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firstLine="612"/>
        <w:spacing w:after="0" w:line="252"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currently subject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20" w:right="1440" w:bottom="175" w:gutter="0" w:footer="0" w:header="0"/>
        </w:sectPr>
      </w:pPr>
    </w:p>
    <w:bookmarkStart w:id="84" w:name="page85"/>
    <w:bookmarkEnd w:id="84"/>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3" w:lineRule="exact"/>
        <w:rPr>
          <w:sz w:val="20"/>
          <w:szCs w:val="20"/>
          <w:color w:val="auto"/>
        </w:rPr>
      </w:pPr>
    </w:p>
    <w:p>
      <w:pPr>
        <w:ind w:right="140" w:firstLine="612"/>
        <w:spacing w:after="0" w:line="259" w:lineRule="auto"/>
        <w:rPr>
          <w:sz w:val="20"/>
          <w:szCs w:val="20"/>
          <w:color w:val="auto"/>
        </w:rPr>
      </w:pPr>
      <w:r>
        <w:rPr>
          <w:rFonts w:ascii="Times New Roman" w:cs="Times New Roman" w:eastAsia="Times New Roman" w:hAnsi="Times New Roman"/>
          <w:sz w:val="20"/>
          <w:szCs w:val="20"/>
          <w:color w:val="auto"/>
        </w:rPr>
        <w:t>Our common stock trades on the Nasdaq Global Select Market under the symbol “VOR”. Trading of our common stock commenced on February 5, 2021 in connection with our initial public offering (“IPO”). Prior to that time, there was no established public trading market for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23" w:lineRule="exact"/>
        <w:rPr>
          <w:sz w:val="20"/>
          <w:szCs w:val="20"/>
          <w:color w:val="auto"/>
        </w:rPr>
      </w:pPr>
    </w:p>
    <w:p>
      <w:pPr>
        <w:ind w:right="160" w:firstLine="612"/>
        <w:spacing w:after="0" w:line="278" w:lineRule="auto"/>
        <w:rPr>
          <w:sz w:val="20"/>
          <w:szCs w:val="20"/>
          <w:color w:val="auto"/>
        </w:rPr>
      </w:pPr>
      <w:r>
        <w:rPr>
          <w:rFonts w:ascii="Times New Roman" w:cs="Times New Roman" w:eastAsia="Times New Roman" w:hAnsi="Times New Roman"/>
          <w:sz w:val="20"/>
          <w:szCs w:val="20"/>
          <w:color w:val="auto"/>
        </w:rPr>
        <w:t>As of March 23, 2026, we had approximately 77 holders of record of our common stock. This number does not include beneficial owners whose shares were held in street name.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3" w:lineRule="exact"/>
        <w:rPr>
          <w:sz w:val="20"/>
          <w:szCs w:val="20"/>
          <w:color w:val="auto"/>
        </w:rPr>
      </w:pPr>
    </w:p>
    <w:p>
      <w:pPr>
        <w:ind w:right="120" w:firstLine="612"/>
        <w:spacing w:after="0" w:line="252"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We currently intend to retain future earnings to fund the development and growth of our business. We do not expect to pay any cash dividends in the foreseeable future. In addition, the terms of any future debt agreements that we may enter into, may preclude us from paying dividends without the lenders’ consent or at all.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40" w:right="1440" w:bottom="175"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5" w:lineRule="exact"/>
        <w:rPr>
          <w:sz w:val="20"/>
          <w:szCs w:val="20"/>
          <w:color w:val="auto"/>
        </w:rPr>
      </w:pPr>
    </w:p>
    <w:p>
      <w:pPr>
        <w:ind w:right="80" w:firstLine="612"/>
        <w:spacing w:after="0" w:line="246"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our consolidated financial statements and related notes included elsewhere in this Annual Report on Form 10-K (the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40" w:firstLine="612"/>
        <w:spacing w:after="0" w:line="245" w:lineRule="auto"/>
        <w:rPr>
          <w:sz w:val="20"/>
          <w:szCs w:val="20"/>
          <w:color w:val="auto"/>
        </w:rPr>
      </w:pPr>
      <w:r>
        <w:rPr>
          <w:rFonts w:ascii="Times New Roman" w:cs="Times New Roman" w:eastAsia="Times New Roman" w:hAnsi="Times New Roman"/>
          <w:sz w:val="20"/>
          <w:szCs w:val="20"/>
          <w:color w:val="auto"/>
        </w:rPr>
        <w:t>Vor Bio is a clinical-stage biopharmaceutical company focused on developing a novel therapy in the treatment of autoimmune diseases. In June 2025, we in-licensed telitacicept from RemeGen Co., Ltd. (“RemeGen”). Pursuant to our license agreement with RemeGen, we were granted an exclusive license to develop and commercialize telitacicept outside of the Greater China region, which includes mainland China, Hong Kong, Macau and Taiwan. RemeGen retains development and commercialization rights in Greater China. Telitacicept is approved in China for the treatment of generalized myasthenia gravis (“gMG”), systemic lupus erythematosus (“SLE”) and rheumatoid arthritis (“RA”), and has two Biologics License Applications (“BLAs”) filed and pending in China for the treatment of Sjögren’s disease (“SjD”) and IgA nephropathy (“IgAN”).</w:t>
      </w:r>
    </w:p>
    <w:p>
      <w:pPr>
        <w:spacing w:after="0" w:line="81" w:lineRule="exact"/>
        <w:rPr>
          <w:sz w:val="20"/>
          <w:szCs w:val="20"/>
          <w:color w:val="auto"/>
        </w:rPr>
      </w:pPr>
    </w:p>
    <w:p>
      <w:pPr>
        <w:ind w:right="80" w:firstLine="612"/>
        <w:spacing w:after="0" w:line="249" w:lineRule="auto"/>
        <w:rPr>
          <w:sz w:val="20"/>
          <w:szCs w:val="20"/>
          <w:color w:val="auto"/>
        </w:rPr>
      </w:pPr>
      <w:r>
        <w:rPr>
          <w:rFonts w:ascii="Times New Roman" w:cs="Times New Roman" w:eastAsia="Times New Roman" w:hAnsi="Times New Roman"/>
          <w:sz w:val="20"/>
          <w:szCs w:val="20"/>
          <w:color w:val="auto"/>
        </w:rPr>
        <w:t>Telitacicept is currently being evaluated in a global Phase 3 clinical trial, for which we have assumed responsibility from RemeGen in connection with the license agreement, for the treatment of gMG. The trial is currently recruiting patients in North America, Europe, Latin America, and Asia to support potential approval in the United States, Europe, Japan and other countries. In July 2024, the clinical trial enrolled a patient in the United States, the first in the global clinical trial. Topline data from the trial is anticipated in the first half of 2027.</w:t>
      </w:r>
    </w:p>
    <w:p>
      <w:pPr>
        <w:spacing w:after="0" w:line="187" w:lineRule="exact"/>
        <w:rPr>
          <w:sz w:val="20"/>
          <w:szCs w:val="20"/>
          <w:color w:val="auto"/>
        </w:rPr>
      </w:pPr>
    </w:p>
    <w:p>
      <w:pPr>
        <w:ind w:right="400" w:firstLine="720"/>
        <w:spacing w:after="0" w:line="258" w:lineRule="auto"/>
        <w:rPr>
          <w:sz w:val="20"/>
          <w:szCs w:val="20"/>
          <w:color w:val="auto"/>
        </w:rPr>
      </w:pPr>
      <w:r>
        <w:rPr>
          <w:rFonts w:ascii="Times New Roman" w:cs="Times New Roman" w:eastAsia="Times New Roman" w:hAnsi="Times New Roman"/>
          <w:sz w:val="20"/>
          <w:szCs w:val="20"/>
          <w:color w:val="auto"/>
        </w:rPr>
        <w:t>Telitacicept was evaluated by RemeGen in a Phase 3 clinical trial in patients with gMG in China. Most recently, the 48-week data from Part B of the Phase 3 trial were presented at the American Association of Neuromuscular &amp; Electrodiagnostic Medicine (“AANEM”) Annual Meeting in October 2025.</w:t>
      </w:r>
    </w:p>
    <w:p>
      <w:pPr>
        <w:spacing w:after="0" w:line="178"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19"/>
          <w:szCs w:val="19"/>
          <w:color w:val="auto"/>
        </w:rPr>
        <w:t>We have recently initiated a global Phase 3 clinical trial evaluating telitacicept for the treatment of SjD, with first patient dosing in March 2026. The trial anticipates recruiting approximately 250 adults with SjD in the United States, Europe, South America, and Asia. The trial is a randomized, double-blind, placebo-controlled trial.</w:t>
      </w:r>
    </w:p>
    <w:p>
      <w:pPr>
        <w:spacing w:after="0" w:line="158" w:lineRule="exact"/>
        <w:rPr>
          <w:sz w:val="20"/>
          <w:szCs w:val="20"/>
          <w:color w:val="auto"/>
        </w:rPr>
      </w:pPr>
    </w:p>
    <w:p>
      <w:pPr>
        <w:jc w:val="both"/>
        <w:ind w:right="420" w:firstLine="720"/>
        <w:spacing w:after="0" w:line="258" w:lineRule="auto"/>
        <w:rPr>
          <w:sz w:val="20"/>
          <w:szCs w:val="20"/>
          <w:color w:val="auto"/>
        </w:rPr>
      </w:pPr>
      <w:r>
        <w:rPr>
          <w:rFonts w:ascii="Times New Roman" w:cs="Times New Roman" w:eastAsia="Times New Roman" w:hAnsi="Times New Roman"/>
          <w:sz w:val="20"/>
          <w:szCs w:val="20"/>
          <w:color w:val="auto"/>
        </w:rPr>
        <w:t>Telitacicept was evaluated by RemeGen in a Phase 3 clinical trial in patients with active SjD in China. Most recently, the 48-week data including Stage A and B from the Phase 3 trial were presented at the American College of Rheumatology (“ACR”) Annual Meeting in October 2025.</w:t>
      </w:r>
    </w:p>
    <w:p>
      <w:pPr>
        <w:spacing w:after="0" w:line="68" w:lineRule="exact"/>
        <w:rPr>
          <w:sz w:val="20"/>
          <w:szCs w:val="20"/>
          <w:color w:val="auto"/>
        </w:rPr>
      </w:pPr>
    </w:p>
    <w:p>
      <w:pPr>
        <w:ind w:right="140" w:firstLine="612"/>
        <w:spacing w:after="0" w:line="258" w:lineRule="auto"/>
        <w:rPr>
          <w:sz w:val="20"/>
          <w:szCs w:val="20"/>
          <w:color w:val="auto"/>
        </w:rPr>
      </w:pPr>
      <w:r>
        <w:rPr>
          <w:rFonts w:ascii="Times New Roman" w:cs="Times New Roman" w:eastAsia="Times New Roman" w:hAnsi="Times New Roman"/>
          <w:sz w:val="20"/>
          <w:szCs w:val="20"/>
          <w:color w:val="auto"/>
        </w:rPr>
        <w:t>We have incurred significant operating losses since inception, including net losses of $696.0 million for the year ended December 31, 2025 and $116.9 million for the year ended December 31, 2024. As of December 31, 2025, we had an accumulated deficit of $1,153.0 million.</w:t>
      </w:r>
    </w:p>
    <w:p>
      <w:pPr>
        <w:spacing w:after="0" w:line="68" w:lineRule="exact"/>
        <w:rPr>
          <w:sz w:val="20"/>
          <w:szCs w:val="20"/>
          <w:color w:val="auto"/>
        </w:rPr>
      </w:pPr>
    </w:p>
    <w:p>
      <w:pPr>
        <w:ind w:right="80" w:firstLine="612"/>
        <w:spacing w:after="0" w:line="252" w:lineRule="auto"/>
        <w:rPr>
          <w:sz w:val="20"/>
          <w:szCs w:val="20"/>
          <w:color w:val="auto"/>
        </w:rPr>
      </w:pPr>
      <w:r>
        <w:rPr>
          <w:rFonts w:ascii="Times New Roman" w:cs="Times New Roman" w:eastAsia="Times New Roman" w:hAnsi="Times New Roman"/>
          <w:sz w:val="20"/>
          <w:szCs w:val="20"/>
          <w:color w:val="auto"/>
        </w:rPr>
        <w:t>As of December 31, 2025, we had cash, cash equivalents and marketable securities of $455.2 million. Based on our current operating plan, we expect that our cash, cash equivalents and marketable securities, together with the expected proceeds from our 2026 Private Placement, will enable us to fund our operating expenses and capital expenditure requirements into early 2029.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 Plan</w:t>
      </w:r>
    </w:p>
    <w:p>
      <w:pPr>
        <w:spacing w:after="0" w:line="124"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On May 5, 2025, our board of directors approved the wind down of our then- existing clinical and manufacturing operations focused on previous product candidates (the “Restructuring Plan”). We publicly announced this plan on May 8, 2025. In conjunction with the Restructuring Plan, we announced a reduction of our workforce by 154 full-time employees, or approximately 99% of our then-current employee base.</w:t>
      </w:r>
    </w:p>
    <w:p>
      <w:pPr>
        <w:spacing w:after="0" w:line="7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we incurred restructuring costs related to the Restructuring Plan of $29.7 million comprised of severance payments, stock-based compensation modifications, loss on disposal of long-lived assets and accelerated depreciation and amortization on long-lived assets and right-of-use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16" w:right="1440" w:bottom="175"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9" w:lineRule="exact"/>
        <w:rPr>
          <w:sz w:val="20"/>
          <w:szCs w:val="20"/>
          <w:color w:val="auto"/>
        </w:rPr>
      </w:pPr>
    </w:p>
    <w:p>
      <w:pPr>
        <w:ind w:right="140" w:firstLine="612"/>
        <w:spacing w:after="0" w:line="252" w:lineRule="auto"/>
        <w:rPr>
          <w:sz w:val="20"/>
          <w:szCs w:val="20"/>
          <w:color w:val="auto"/>
        </w:rPr>
      </w:pPr>
      <w:r>
        <w:rPr>
          <w:rFonts w:ascii="Times New Roman" w:cs="Times New Roman" w:eastAsia="Times New Roman" w:hAnsi="Times New Roman"/>
          <w:sz w:val="20"/>
          <w:szCs w:val="20"/>
          <w:color w:val="auto"/>
        </w:rPr>
        <w:t>We have not generated any revenue since our inception and do not expect to generate any revenue from the sale of products in the near future, if at all. If our development efforts for our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7" w:lineRule="exact"/>
        <w:rPr>
          <w:sz w:val="20"/>
          <w:szCs w:val="20"/>
          <w:color w:val="auto"/>
        </w:rPr>
      </w:pPr>
    </w:p>
    <w:p>
      <w:pPr>
        <w:ind w:right="140" w:firstLine="612"/>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consist primarily of external and internal expenses incurred in connection with our research and development activities, including our drug discovery efforts and the development of our product candidates. External expenses include:</w:t>
      </w:r>
    </w:p>
    <w:p>
      <w:pPr>
        <w:spacing w:after="0" w:line="83" w:lineRule="exact"/>
        <w:rPr>
          <w:sz w:val="20"/>
          <w:szCs w:val="20"/>
          <w:color w:val="auto"/>
        </w:rPr>
      </w:pPr>
    </w:p>
    <w:p>
      <w:pPr>
        <w:ind w:left="980" w:right="440" w:hanging="492"/>
        <w:spacing w:after="0" w:line="261" w:lineRule="auto"/>
        <w:tabs>
          <w:tab w:leader="none" w:pos="98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research and development expenses incurred under agreements with clinical research organizations (“CROs”) and other scientific development services;</w:t>
      </w:r>
    </w:p>
    <w:p>
      <w:pPr>
        <w:spacing w:after="0" w:line="77" w:lineRule="exact"/>
        <w:rPr>
          <w:rFonts w:ascii="Symbol" w:cs="Symbol" w:eastAsia="Symbol" w:hAnsi="Symbol"/>
          <w:sz w:val="20"/>
          <w:szCs w:val="20"/>
          <w:color w:val="auto"/>
        </w:rPr>
      </w:pPr>
    </w:p>
    <w:p>
      <w:pPr>
        <w:ind w:left="980" w:hanging="492"/>
        <w:spacing w:after="0"/>
        <w:tabs>
          <w:tab w:leader="none" w:pos="98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of consultants, including their fees and related travel expenses;</w:t>
      </w:r>
    </w:p>
    <w:p>
      <w:pPr>
        <w:spacing w:after="0" w:line="119" w:lineRule="exact"/>
        <w:rPr>
          <w:rFonts w:ascii="Symbol" w:cs="Symbol" w:eastAsia="Symbol" w:hAnsi="Symbol"/>
          <w:sz w:val="20"/>
          <w:szCs w:val="20"/>
          <w:color w:val="auto"/>
        </w:rPr>
      </w:pPr>
    </w:p>
    <w:p>
      <w:pPr>
        <w:ind w:left="980" w:hanging="492"/>
        <w:spacing w:after="0"/>
        <w:tabs>
          <w:tab w:leader="none" w:pos="98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related to compliance with quality and regulatory requirements;</w:t>
      </w:r>
    </w:p>
    <w:p>
      <w:pPr>
        <w:spacing w:after="0" w:line="118" w:lineRule="exact"/>
        <w:rPr>
          <w:rFonts w:ascii="Symbol" w:cs="Symbol" w:eastAsia="Symbol" w:hAnsi="Symbol"/>
          <w:sz w:val="20"/>
          <w:szCs w:val="20"/>
          <w:color w:val="auto"/>
        </w:rPr>
      </w:pPr>
    </w:p>
    <w:p>
      <w:pPr>
        <w:ind w:left="980" w:right="680" w:hanging="492"/>
        <w:spacing w:after="0" w:line="262" w:lineRule="auto"/>
        <w:tabs>
          <w:tab w:leader="none" w:pos="98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of laboratory supplies and acquiring and developing preclinical and clinical trial materials, including expenses associated with our clinical manufacturing organizations (“CMOs”); and</w:t>
      </w:r>
    </w:p>
    <w:p>
      <w:pPr>
        <w:spacing w:after="0" w:line="76" w:lineRule="exact"/>
        <w:rPr>
          <w:rFonts w:ascii="Symbol" w:cs="Symbol" w:eastAsia="Symbol" w:hAnsi="Symbol"/>
          <w:sz w:val="20"/>
          <w:szCs w:val="20"/>
          <w:color w:val="auto"/>
        </w:rPr>
      </w:pPr>
    </w:p>
    <w:p>
      <w:pPr>
        <w:ind w:left="980" w:hanging="492"/>
        <w:spacing w:after="0"/>
        <w:tabs>
          <w:tab w:leader="none" w:pos="980" w:val="left"/>
        </w:tabs>
        <w:numPr>
          <w:ilvl w:val="0"/>
          <w:numId w:val="49"/>
        </w:numPr>
        <w:rPr>
          <w:rFonts w:ascii="Symbol" w:cs="Symbol" w:eastAsia="Symbol" w:hAnsi="Symbol"/>
          <w:sz w:val="20"/>
          <w:szCs w:val="20"/>
          <w:color w:val="auto"/>
        </w:rPr>
      </w:pPr>
      <w:r>
        <w:rPr>
          <w:rFonts w:ascii="Times New Roman" w:cs="Times New Roman" w:eastAsia="Times New Roman" w:hAnsi="Times New Roman"/>
          <w:sz w:val="20"/>
          <w:szCs w:val="20"/>
          <w:color w:val="auto"/>
        </w:rPr>
        <w:t>payments made and consideration issued under third party licensing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Internal expenses include:</w:t>
      </w:r>
    </w:p>
    <w:p>
      <w:pPr>
        <w:spacing w:after="0" w:line="135" w:lineRule="exact"/>
        <w:rPr>
          <w:sz w:val="20"/>
          <w:szCs w:val="20"/>
          <w:color w:val="auto"/>
        </w:rPr>
      </w:pPr>
    </w:p>
    <w:p>
      <w:pPr>
        <w:ind w:left="980" w:right="740" w:hanging="492"/>
        <w:spacing w:after="0" w:line="261" w:lineRule="auto"/>
        <w:tabs>
          <w:tab w:leader="none" w:pos="98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personnel-related expenses, including salaries, bonuses, benefits and stock-based compensation expenses, for employees involved in research and development activities;</w:t>
      </w:r>
    </w:p>
    <w:p>
      <w:pPr>
        <w:spacing w:after="0" w:line="77" w:lineRule="exact"/>
        <w:rPr>
          <w:rFonts w:ascii="Symbol" w:cs="Symbol" w:eastAsia="Symbol" w:hAnsi="Symbol"/>
          <w:sz w:val="20"/>
          <w:szCs w:val="20"/>
          <w:color w:val="auto"/>
        </w:rPr>
      </w:pPr>
    </w:p>
    <w:p>
      <w:pPr>
        <w:ind w:left="980" w:right="360" w:hanging="492"/>
        <w:spacing w:after="0" w:line="262" w:lineRule="auto"/>
        <w:tabs>
          <w:tab w:leader="none" w:pos="98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facilities, depreciation and other allocated expenses, which include direct and allocated expenses for rent, insurance, and other internal operating costs; and</w:t>
      </w:r>
    </w:p>
    <w:p>
      <w:pPr>
        <w:spacing w:after="0" w:line="75" w:lineRule="exact"/>
        <w:rPr>
          <w:rFonts w:ascii="Symbol" w:cs="Symbol" w:eastAsia="Symbol" w:hAnsi="Symbol"/>
          <w:sz w:val="20"/>
          <w:szCs w:val="20"/>
          <w:color w:val="auto"/>
        </w:rPr>
      </w:pPr>
    </w:p>
    <w:p>
      <w:pPr>
        <w:ind w:left="980" w:right="100" w:hanging="492"/>
        <w:spacing w:after="0" w:line="251" w:lineRule="auto"/>
        <w:tabs>
          <w:tab w:leader="none" w:pos="980" w:val="left"/>
        </w:tabs>
        <w:numPr>
          <w:ilvl w:val="0"/>
          <w:numId w:val="50"/>
        </w:numPr>
        <w:rPr>
          <w:rFonts w:ascii="Symbol" w:cs="Symbol" w:eastAsia="Symbol" w:hAnsi="Symbol"/>
          <w:sz w:val="20"/>
          <w:szCs w:val="20"/>
          <w:color w:val="auto"/>
        </w:rPr>
      </w:pPr>
      <w:r>
        <w:rPr>
          <w:rFonts w:ascii="Times New Roman" w:cs="Times New Roman" w:eastAsia="Times New Roman" w:hAnsi="Times New Roman"/>
          <w:sz w:val="20"/>
          <w:szCs w:val="20"/>
          <w:color w:val="auto"/>
        </w:rPr>
        <w:t>research and development related restructuring costs incurred with the Restructuring Plan, including severance payments, stock-based compensation modifications, loss on disposal of long-lived assets and accelerated depreciation and amortization on long-lived assets and right-of-use assets.</w:t>
      </w:r>
    </w:p>
    <w:p>
      <w:pPr>
        <w:spacing w:after="0" w:line="193"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expenses or accrued research and development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81" w:lineRule="exact"/>
        <w:rPr>
          <w:sz w:val="20"/>
          <w:szCs w:val="20"/>
          <w:color w:val="auto"/>
        </w:rPr>
      </w:pPr>
    </w:p>
    <w:p>
      <w:pPr>
        <w:ind w:right="380" w:firstLine="619"/>
        <w:spacing w:after="0" w:line="278" w:lineRule="auto"/>
        <w:rPr>
          <w:sz w:val="20"/>
          <w:szCs w:val="20"/>
          <w:color w:val="auto"/>
        </w:rPr>
      </w:pPr>
      <w:r>
        <w:rPr>
          <w:rFonts w:ascii="Times New Roman" w:cs="Times New Roman" w:eastAsia="Times New Roman" w:hAnsi="Times New Roman"/>
          <w:sz w:val="20"/>
          <w:szCs w:val="20"/>
          <w:color w:val="auto"/>
        </w:rPr>
        <w:t>A significant portion of our research and development costs have been external costs, which we track by program.</w:t>
      </w:r>
    </w:p>
    <w:p>
      <w:pPr>
        <w:spacing w:after="0" w:line="48" w:lineRule="exact"/>
        <w:rPr>
          <w:sz w:val="20"/>
          <w:szCs w:val="20"/>
          <w:color w:val="auto"/>
        </w:rPr>
      </w:pPr>
    </w:p>
    <w:p>
      <w:pPr>
        <w:ind w:right="240" w:firstLine="619"/>
        <w:spacing w:after="0" w:line="258" w:lineRule="auto"/>
        <w:rPr>
          <w:sz w:val="20"/>
          <w:szCs w:val="20"/>
          <w:color w:val="auto"/>
        </w:rPr>
      </w:pPr>
      <w:r>
        <w:rPr>
          <w:rFonts w:ascii="Times New Roman" w:cs="Times New Roman" w:eastAsia="Times New Roman" w:hAnsi="Times New Roman"/>
          <w:sz w:val="20"/>
          <w:szCs w:val="20"/>
          <w:color w:val="auto"/>
        </w:rPr>
        <w:t>Research and development activities are central to our business model. We expect that our research and development expenses will increase significantly for the foreseeable future as we continue to identify and develop product candidates, particularly as our product candidates move into later stages of clinical development.</w:t>
      </w:r>
    </w:p>
    <w:p>
      <w:pPr>
        <w:spacing w:after="0" w:line="68"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The successful development of our product candidates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our product candidates, if approved. This is due to the numerous risks and uncertainties associated with developing product candidates, many of which are outside of our control, including the uncertainty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16" w:right="1440" w:bottom="175" w:gutter="0" w:footer="0" w:header="0"/>
        </w:sectPr>
      </w:pPr>
    </w:p>
    <w:bookmarkStart w:id="87" w:name="page88"/>
    <w:bookmarkEnd w:id="87"/>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and progress of clinical development activities;</w:t>
      </w:r>
    </w:p>
    <w:p>
      <w:pPr>
        <w:spacing w:after="0" w:line="119"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and scope of clinical programs we decide to pursue;</w:t>
      </w:r>
    </w:p>
    <w:p>
      <w:pPr>
        <w:spacing w:after="0" w:line="118"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maintain our current research and development programs and to establish new ones;</w:t>
      </w:r>
    </w:p>
    <w:p>
      <w:pPr>
        <w:spacing w:after="0" w:line="119"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establishing an appropriate safety profile with IND-enabling studies;</w:t>
      </w:r>
    </w:p>
    <w:p>
      <w:pPr>
        <w:spacing w:after="0" w:line="118"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sites and patients included in the clinical trials;</w:t>
      </w:r>
    </w:p>
    <w:p>
      <w:pPr>
        <w:spacing w:after="0" w:line="119"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countries in which the clinical trials are conducted;</w:t>
      </w:r>
    </w:p>
    <w:p>
      <w:pPr>
        <w:spacing w:after="0" w:line="119"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per patient trial costs;</w:t>
      </w:r>
    </w:p>
    <w:p>
      <w:pPr>
        <w:spacing w:after="0" w:line="118" w:lineRule="exact"/>
        <w:rPr>
          <w:rFonts w:ascii="Symbol" w:cs="Symbol" w:eastAsia="Symbol" w:hAnsi="Symbol"/>
          <w:sz w:val="20"/>
          <w:szCs w:val="20"/>
          <w:color w:val="auto"/>
        </w:rPr>
      </w:pPr>
    </w:p>
    <w:p>
      <w:pPr>
        <w:ind w:left="840" w:right="60" w:hanging="235"/>
        <w:spacing w:after="0" w:line="262" w:lineRule="auto"/>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successful patient enrollment in, and the initiation of, clinical trials, as well as drop out or discontinuation rates;</w:t>
      </w:r>
    </w:p>
    <w:p>
      <w:pPr>
        <w:spacing w:after="0" w:line="75" w:lineRule="exact"/>
        <w:rPr>
          <w:rFonts w:ascii="Symbol" w:cs="Symbol" w:eastAsia="Symbol" w:hAnsi="Symbol"/>
          <w:sz w:val="20"/>
          <w:szCs w:val="20"/>
          <w:color w:val="auto"/>
        </w:rPr>
      </w:pPr>
    </w:p>
    <w:p>
      <w:pPr>
        <w:ind w:left="840" w:right="900" w:hanging="235"/>
        <w:spacing w:after="0" w:line="262" w:lineRule="auto"/>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successful completion of clinical trials with safety, tolerability and efficacy profiles that are satisfactory to the FDA or any comparable foreign regulatory authority;</w:t>
      </w:r>
    </w:p>
    <w:p>
      <w:pPr>
        <w:spacing w:after="0" w:line="76"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trials required for regulatory approval;</w:t>
      </w:r>
    </w:p>
    <w:p>
      <w:pPr>
        <w:spacing w:after="0" w:line="118"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timing, receipt and terms of any regulatory approvals from applicable regulatory authorities;</w:t>
      </w:r>
    </w:p>
    <w:p>
      <w:pPr>
        <w:spacing w:after="0" w:line="119"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establish new licensing or collaboration arrangements;</w:t>
      </w:r>
    </w:p>
    <w:p>
      <w:pPr>
        <w:spacing w:after="0" w:line="119"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performance of our current and future collaborators, if any;</w:t>
      </w:r>
    </w:p>
    <w:p>
      <w:pPr>
        <w:spacing w:after="0" w:line="118" w:lineRule="exact"/>
        <w:rPr>
          <w:rFonts w:ascii="Symbol" w:cs="Symbol" w:eastAsia="Symbol" w:hAnsi="Symbol"/>
          <w:sz w:val="20"/>
          <w:szCs w:val="20"/>
          <w:color w:val="auto"/>
        </w:rPr>
      </w:pPr>
    </w:p>
    <w:p>
      <w:pPr>
        <w:ind w:left="840" w:right="1080" w:hanging="235"/>
        <w:spacing w:after="0" w:line="262" w:lineRule="auto"/>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establishing commercial manufacturing capabilities or making arrangements with third-party manufacturers;</w:t>
      </w:r>
    </w:p>
    <w:p>
      <w:pPr>
        <w:spacing w:after="0" w:line="76"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significant and changing government regulation and regulatory guidance;</w:t>
      </w:r>
    </w:p>
    <w:p>
      <w:pPr>
        <w:spacing w:after="0" w:line="118" w:lineRule="exact"/>
        <w:rPr>
          <w:rFonts w:ascii="Symbol" w:cs="Symbol" w:eastAsia="Symbol" w:hAnsi="Symbol"/>
          <w:sz w:val="20"/>
          <w:szCs w:val="20"/>
          <w:color w:val="auto"/>
        </w:rPr>
      </w:pPr>
    </w:p>
    <w:p>
      <w:pPr>
        <w:ind w:left="840" w:right="260" w:hanging="235"/>
        <w:spacing w:after="0" w:line="262" w:lineRule="auto"/>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any business interruptions to our operations or to those of the third parties with whom we work;</w:t>
      </w:r>
    </w:p>
    <w:p>
      <w:pPr>
        <w:spacing w:after="0" w:line="75"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maintaining, defending and enforcing patent claims and other intellectual property rights;</w:t>
      </w:r>
    </w:p>
    <w:p>
      <w:pPr>
        <w:spacing w:after="0" w:line="119" w:lineRule="exact"/>
        <w:rPr>
          <w:rFonts w:ascii="Symbol" w:cs="Symbol" w:eastAsia="Symbol" w:hAnsi="Symbol"/>
          <w:sz w:val="20"/>
          <w:szCs w:val="20"/>
          <w:color w:val="auto"/>
        </w:rPr>
      </w:pPr>
    </w:p>
    <w:p>
      <w:pPr>
        <w:ind w:left="840" w:right="20" w:hanging="235"/>
        <w:spacing w:after="0" w:line="262" w:lineRule="auto"/>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launching commercial sales of our product candidates, if approved, whether alone or in collaboration with others; and</w:t>
      </w:r>
    </w:p>
    <w:p>
      <w:pPr>
        <w:spacing w:after="0" w:line="75" w:lineRule="exact"/>
        <w:rPr>
          <w:rFonts w:ascii="Symbol" w:cs="Symbol" w:eastAsia="Symbol" w:hAnsi="Symbol"/>
          <w:sz w:val="20"/>
          <w:szCs w:val="20"/>
          <w:color w:val="auto"/>
        </w:rPr>
      </w:pPr>
    </w:p>
    <w:p>
      <w:pPr>
        <w:ind w:left="840" w:hanging="235"/>
        <w:spacing w:after="0"/>
        <w:tabs>
          <w:tab w:leader="none" w:pos="840" w:val="left"/>
        </w:tabs>
        <w:numPr>
          <w:ilvl w:val="0"/>
          <w:numId w:val="51"/>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maintaining a continued acceptable safety profile of the product candidates following approval.</w:t>
      </w:r>
    </w:p>
    <w:p>
      <w:pPr>
        <w:spacing w:after="0" w:line="105" w:lineRule="exact"/>
        <w:rPr>
          <w:sz w:val="20"/>
          <w:szCs w:val="20"/>
          <w:color w:val="auto"/>
        </w:rPr>
      </w:pPr>
    </w:p>
    <w:p>
      <w:pPr>
        <w:ind w:right="540" w:firstLine="619"/>
        <w:spacing w:after="0" w:line="278" w:lineRule="auto"/>
        <w:rPr>
          <w:sz w:val="20"/>
          <w:szCs w:val="20"/>
          <w:color w:val="auto"/>
        </w:rPr>
      </w:pPr>
      <w:r>
        <w:rPr>
          <w:rFonts w:ascii="Times New Roman" w:cs="Times New Roman" w:eastAsia="Times New Roman" w:hAnsi="Times New Roman"/>
          <w:sz w:val="20"/>
          <w:szCs w:val="20"/>
          <w:color w:val="auto"/>
        </w:rPr>
        <w:t>Any changes in the outcome of any of these variables could mean a significant change in the costs and timing associated with the development of our product candidates.</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personnel-related costs, including salaries, bonuses, benefits and stock-based compensation expenses for employees involved in our executive, finance, corporate, business development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 General and administrative costs also consist of restructuring costs incurred under the Restructuring Plan, including severance payments, stock-based compensation modifications, and accelerated depreciation and amortization on long-lived assets and right-of-use assets.</w:t>
      </w:r>
    </w:p>
    <w:p>
      <w:pPr>
        <w:spacing w:after="0" w:line="84"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as our business expands and we hire additional personnel to support our continued development of our clinical programs. We also anticipate continued increased expenses associated with being a public company, including costs for legal, audit, accounting, investor and public relations, regulatory and tax-related services related to compliance with the rules and regulations of the SEC, Nasdaq listing standards and director and officer insurance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35" w:right="1440" w:bottom="175"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7" w:lineRule="exact"/>
        <w:rPr>
          <w:sz w:val="20"/>
          <w:szCs w:val="20"/>
          <w:color w:val="auto"/>
        </w:rPr>
      </w:pPr>
    </w:p>
    <w:p>
      <w:pPr>
        <w:ind w:right="260" w:firstLine="619"/>
        <w:spacing w:after="0" w:line="278" w:lineRule="auto"/>
        <w:rPr>
          <w:sz w:val="20"/>
          <w:szCs w:val="20"/>
          <w:color w:val="auto"/>
        </w:rPr>
      </w:pPr>
      <w:r>
        <w:rPr>
          <w:rFonts w:ascii="Times New Roman" w:cs="Times New Roman" w:eastAsia="Times New Roman" w:hAnsi="Times New Roman"/>
          <w:sz w:val="20"/>
          <w:szCs w:val="20"/>
          <w:color w:val="auto"/>
        </w:rPr>
        <w:t>Interest income consists of interest income earned on our cash, cash equivalents and marketable securities held in financial institutions.</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Other Income</w:t>
      </w:r>
    </w:p>
    <w:p>
      <w:pPr>
        <w:spacing w:after="0" w:line="118" w:lineRule="exact"/>
        <w:rPr>
          <w:sz w:val="20"/>
          <w:szCs w:val="20"/>
          <w:color w:val="auto"/>
        </w:rPr>
      </w:pPr>
    </w:p>
    <w:p>
      <w:pPr>
        <w:ind w:right="320" w:firstLine="612"/>
        <w:spacing w:after="0" w:line="278" w:lineRule="auto"/>
        <w:rPr>
          <w:sz w:val="20"/>
          <w:szCs w:val="20"/>
          <w:color w:val="auto"/>
        </w:rPr>
      </w:pPr>
      <w:r>
        <w:rPr>
          <w:rFonts w:ascii="Times New Roman" w:cs="Times New Roman" w:eastAsia="Times New Roman" w:hAnsi="Times New Roman"/>
          <w:sz w:val="20"/>
          <w:szCs w:val="20"/>
          <w:color w:val="auto"/>
        </w:rPr>
        <w:t>Other income represents the proceeds received from the sale of certain intellectual property related to our previous product candidates trem-cel, VCAR33 and VADC45.</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Change in Fair Value of Warrant Liabilities</w:t>
      </w:r>
    </w:p>
    <w:p>
      <w:pPr>
        <w:spacing w:after="0" w:line="118" w:lineRule="exact"/>
        <w:rPr>
          <w:sz w:val="20"/>
          <w:szCs w:val="20"/>
          <w:color w:val="auto"/>
        </w:rPr>
      </w:pPr>
    </w:p>
    <w:p>
      <w:pPr>
        <w:ind w:right="440" w:firstLine="612"/>
        <w:spacing w:after="0" w:line="258" w:lineRule="auto"/>
        <w:rPr>
          <w:sz w:val="20"/>
          <w:szCs w:val="20"/>
          <w:color w:val="auto"/>
        </w:rPr>
      </w:pPr>
      <w:r>
        <w:rPr>
          <w:rFonts w:ascii="Times New Roman" w:cs="Times New Roman" w:eastAsia="Times New Roman" w:hAnsi="Times New Roman"/>
          <w:sz w:val="20"/>
          <w:szCs w:val="20"/>
          <w:color w:val="auto"/>
        </w:rPr>
        <w:t>Change in fair value of warrant liabilities represents the change in the fair value of liability-classified warrants due to changes in their intrinsic value resulting from changes in the quoted price of our common stock underlying the warrants.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120" w:lineRule="exact"/>
        <w:rPr>
          <w:sz w:val="20"/>
          <w:szCs w:val="20"/>
          <w:color w:val="auto"/>
        </w:rPr>
      </w:pPr>
    </w:p>
    <w:p>
      <w:pPr>
        <w:ind w:right="180" w:firstLine="612"/>
        <w:spacing w:after="0" w:line="278"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1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550" w:type="dxa"/>
            <w:vAlign w:val="bottom"/>
            <w:gridSpan w:val="7"/>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4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3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1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550" w:type="dxa"/>
            <w:vAlign w:val="bottom"/>
            <w:tcBorders>
              <w:bottom w:val="single" w:sz="8" w:color="auto"/>
            </w:tcBorders>
            <w:gridSpan w:val="7"/>
          </w:tcPr>
          <w:p>
            <w:pPr>
              <w:jc w:val="center"/>
              <w:ind w:left="51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11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2"/>
        </w:trPr>
        <w:tc>
          <w:tcPr>
            <w:tcW w:w="541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97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7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1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1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30" w:type="dxa"/>
            <w:vAlign w:val="bottom"/>
            <w:tcBorders>
              <w:top w:val="single" w:sz="8" w:color="CFF0FC"/>
              <w:right w:val="single" w:sz="8" w:color="CFF0FC"/>
            </w:tcBorders>
            <w:shd w:val="clear" w:color="auto" w:fill="CFF0FC"/>
          </w:tcPr>
          <w:p>
            <w:pPr>
              <w:spacing w:after="0"/>
              <w:rPr>
                <w:sz w:val="19"/>
                <w:szCs w:val="19"/>
                <w:color w:val="auto"/>
              </w:rPr>
            </w:pPr>
          </w:p>
        </w:tc>
        <w:tc>
          <w:tcPr>
            <w:tcW w:w="110" w:type="dxa"/>
            <w:vAlign w:val="bottom"/>
            <w:tcBorders>
              <w:top w:val="single" w:sz="8" w:color="auto"/>
            </w:tcBorders>
          </w:tcPr>
          <w:p>
            <w:pPr>
              <w:spacing w:after="0"/>
              <w:rPr>
                <w:sz w:val="19"/>
                <w:szCs w:val="19"/>
                <w:color w:val="auto"/>
              </w:rPr>
            </w:pPr>
          </w:p>
        </w:tc>
        <w:tc>
          <w:tcPr>
            <w:tcW w:w="97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70" w:type="dxa"/>
            <w:vAlign w:val="bottom"/>
            <w:tcBorders>
              <w:top w:val="single" w:sz="8" w:color="CFF0FC"/>
            </w:tcBorders>
            <w:shd w:val="clear" w:color="auto" w:fill="CFF0FC"/>
          </w:tcPr>
          <w:p>
            <w:pPr>
              <w:spacing w:after="0"/>
              <w:rPr>
                <w:sz w:val="19"/>
                <w:szCs w:val="19"/>
                <w:color w:val="auto"/>
              </w:rPr>
            </w:pPr>
          </w:p>
        </w:tc>
        <w:tc>
          <w:tcPr>
            <w:tcW w:w="130" w:type="dxa"/>
            <w:vAlign w:val="bottom"/>
            <w:tcBorders>
              <w:top w:val="single" w:sz="8" w:color="CFF0FC"/>
            </w:tcBorders>
            <w:shd w:val="clear" w:color="auto" w:fill="CFF0FC"/>
          </w:tcPr>
          <w:p>
            <w:pPr>
              <w:spacing w:after="0"/>
              <w:rPr>
                <w:sz w:val="19"/>
                <w:szCs w:val="19"/>
                <w:color w:val="auto"/>
              </w:rPr>
            </w:pPr>
          </w:p>
        </w:tc>
        <w:tc>
          <w:tcPr>
            <w:tcW w:w="110" w:type="dxa"/>
            <w:vAlign w:val="bottom"/>
            <w:tcBorders>
              <w:top w:val="single" w:sz="8" w:color="auto"/>
            </w:tcBorders>
            <w:shd w:val="clear" w:color="auto" w:fill="CFF0FC"/>
          </w:tcPr>
          <w:p>
            <w:pPr>
              <w:spacing w:after="0"/>
              <w:rPr>
                <w:sz w:val="19"/>
                <w:szCs w:val="19"/>
                <w:color w:val="auto"/>
              </w:rPr>
            </w:pPr>
          </w:p>
        </w:tc>
        <w:tc>
          <w:tcPr>
            <w:tcW w:w="103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10" w:type="dxa"/>
            <w:vAlign w:val="bottom"/>
            <w:tcBorders>
              <w:bottom w:val="single" w:sz="8" w:color="CFF0FC"/>
            </w:tcBorders>
          </w:tcPr>
          <w:p>
            <w:pPr>
              <w:ind w:left="200"/>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130" w:type="dxa"/>
            <w:vAlign w:val="bottom"/>
            <w:tcBorders>
              <w:bottom w:val="single" w:sz="8" w:color="CFF0FC"/>
            </w:tcBorders>
          </w:tcPr>
          <w:p>
            <w:pPr>
              <w:spacing w:after="0"/>
              <w:rPr>
                <w:sz w:val="19"/>
                <w:szCs w:val="19"/>
                <w:color w:val="auto"/>
              </w:rPr>
            </w:pPr>
          </w:p>
        </w:tc>
        <w:tc>
          <w:tcPr>
            <w:tcW w:w="110" w:type="dxa"/>
            <w:vAlign w:val="bottom"/>
            <w:tcBorders>
              <w:bottom w:val="single" w:sz="8" w:color="CFF0FC"/>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970" w:type="dxa"/>
            <w:vAlign w:val="bottom"/>
            <w:tcBorders>
              <w:bottom w:val="single" w:sz="8" w:color="CFF0FC"/>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321,532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highlight w:val="white"/>
                <w:w w:val="99"/>
              </w:rPr>
              <w:t>$</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93,310</w:t>
            </w:r>
          </w:p>
        </w:tc>
        <w:tc>
          <w:tcPr>
            <w:tcW w:w="70" w:type="dxa"/>
            <w:vAlign w:val="bottom"/>
            <w:tcBorders>
              <w:bottom w:val="single" w:sz="8" w:color="CFF0FC"/>
            </w:tcBorders>
          </w:tcPr>
          <w:p>
            <w:pPr>
              <w:spacing w:after="0"/>
              <w:rPr>
                <w:sz w:val="19"/>
                <w:szCs w:val="19"/>
                <w:color w:val="auto"/>
              </w:rPr>
            </w:pPr>
          </w:p>
        </w:tc>
        <w:tc>
          <w:tcPr>
            <w:tcW w:w="130" w:type="dxa"/>
            <w:vAlign w:val="bottom"/>
            <w:tcBorders>
              <w:bottom w:val="single" w:sz="8" w:color="CFF0FC"/>
            </w:tcBorders>
          </w:tcPr>
          <w:p>
            <w:pPr>
              <w:spacing w:after="0"/>
              <w:rPr>
                <w:sz w:val="19"/>
                <w:szCs w:val="19"/>
                <w:color w:val="auto"/>
              </w:rPr>
            </w:pPr>
          </w:p>
        </w:tc>
        <w:tc>
          <w:tcPr>
            <w:tcW w:w="110" w:type="dxa"/>
            <w:vAlign w:val="bottom"/>
            <w:tcBorders>
              <w:bottom w:val="single" w:sz="8" w:color="CFF0FC"/>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030" w:type="dxa"/>
            <w:vAlign w:val="bottom"/>
            <w:tcBorders>
              <w:bottom w:val="single" w:sz="8" w:color="CFF0FC"/>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228,222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10" w:type="dxa"/>
            <w:vAlign w:val="bottom"/>
            <w:shd w:val="clear" w:color="auto" w:fill="CFF0FC"/>
          </w:tcPr>
          <w:p>
            <w:pPr>
              <w:ind w:left="200"/>
              <w:spacing w:after="0" w:line="224" w:lineRule="exact"/>
              <w:rPr>
                <w:sz w:val="20"/>
                <w:szCs w:val="20"/>
                <w:color w:val="auto"/>
              </w:rPr>
            </w:pPr>
            <w:r>
              <w:rPr>
                <w:rFonts w:ascii="Times New Roman" w:cs="Times New Roman" w:eastAsia="Times New Roman" w:hAnsi="Times New Roman"/>
                <w:sz w:val="20"/>
                <w:szCs w:val="20"/>
                <w:color w:val="auto"/>
              </w:rPr>
              <w:t>General and administrative</w:t>
            </w:r>
          </w:p>
        </w:tc>
        <w:tc>
          <w:tcPr>
            <w:tcW w:w="130" w:type="dxa"/>
            <w:vAlign w:val="bottom"/>
            <w:tcBorders>
              <w:right w:val="single" w:sz="8" w:color="CFF0FC"/>
            </w:tcBorders>
            <w:shd w:val="clear" w:color="auto" w:fill="CFF0FC"/>
          </w:tcPr>
          <w:p>
            <w:pPr>
              <w:spacing w:after="0"/>
              <w:rPr>
                <w:sz w:val="19"/>
                <w:szCs w:val="19"/>
                <w:color w:val="auto"/>
              </w:rPr>
            </w:pPr>
          </w:p>
        </w:tc>
        <w:tc>
          <w:tcPr>
            <w:tcW w:w="110" w:type="dxa"/>
            <w:vAlign w:val="bottom"/>
            <w:tcBorders>
              <w:bottom w:val="single" w:sz="8" w:color="auto"/>
            </w:tcBorders>
            <w:shd w:val="clear" w:color="auto" w:fill="CFF0FC"/>
          </w:tcPr>
          <w:p>
            <w:pPr>
              <w:spacing w:after="0"/>
              <w:rPr>
                <w:sz w:val="19"/>
                <w:szCs w:val="19"/>
                <w:color w:val="auto"/>
              </w:rPr>
            </w:pPr>
          </w:p>
        </w:tc>
        <w:tc>
          <w:tcPr>
            <w:tcW w:w="97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50,110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27,875</w:t>
            </w:r>
          </w:p>
        </w:tc>
        <w:tc>
          <w:tcPr>
            <w:tcW w:w="70" w:type="dxa"/>
            <w:vAlign w:val="bottom"/>
            <w:shd w:val="clear" w:color="auto" w:fill="CFF0FC"/>
          </w:tcPr>
          <w:p>
            <w:pPr>
              <w:spacing w:after="0"/>
              <w:rPr>
                <w:sz w:val="19"/>
                <w:szCs w:val="19"/>
                <w:color w:val="auto"/>
              </w:rPr>
            </w:pPr>
          </w:p>
        </w:tc>
        <w:tc>
          <w:tcPr>
            <w:tcW w:w="130" w:type="dxa"/>
            <w:vAlign w:val="bottom"/>
            <w:shd w:val="clear" w:color="auto" w:fill="CFF0FC"/>
          </w:tcPr>
          <w:p>
            <w:pPr>
              <w:spacing w:after="0"/>
              <w:rPr>
                <w:sz w:val="19"/>
                <w:szCs w:val="19"/>
                <w:color w:val="auto"/>
              </w:rPr>
            </w:pPr>
          </w:p>
        </w:tc>
        <w:tc>
          <w:tcPr>
            <w:tcW w:w="110" w:type="dxa"/>
            <w:vAlign w:val="bottom"/>
            <w:tcBorders>
              <w:bottom w:val="single" w:sz="8" w:color="auto"/>
            </w:tcBorders>
            <w:shd w:val="clear" w:color="auto" w:fill="CFF0FC"/>
          </w:tcPr>
          <w:p>
            <w:pPr>
              <w:spacing w:after="0"/>
              <w:rPr>
                <w:sz w:val="19"/>
                <w:szCs w:val="19"/>
                <w:color w:val="auto"/>
              </w:rPr>
            </w:pPr>
          </w:p>
        </w:tc>
        <w:tc>
          <w:tcPr>
            <w:tcW w:w="103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22,235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540" w:type="dxa"/>
            <w:vAlign w:val="bottom"/>
            <w:tcBorders>
              <w:bottom w:val="single" w:sz="8" w:color="CFF0FC"/>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10" w:type="dxa"/>
            <w:vAlign w:val="bottom"/>
            <w:tcBorders>
              <w:bottom w:val="single" w:sz="8" w:color="auto"/>
            </w:tcBorders>
          </w:tcPr>
          <w:p>
            <w:pPr>
              <w:spacing w:after="0"/>
              <w:rPr>
                <w:sz w:val="22"/>
                <w:szCs w:val="22"/>
                <w:color w:val="auto"/>
              </w:rPr>
            </w:pPr>
          </w:p>
        </w:tc>
        <w:tc>
          <w:tcPr>
            <w:tcW w:w="9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371,642</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121,185</w:t>
            </w:r>
          </w:p>
        </w:tc>
        <w:tc>
          <w:tcPr>
            <w:tcW w:w="70" w:type="dxa"/>
            <w:vAlign w:val="bottom"/>
            <w:tcBorders>
              <w:bottom w:val="single" w:sz="8" w:color="CFF0FC"/>
            </w:tcBorders>
          </w:tcPr>
          <w:p>
            <w:pPr>
              <w:spacing w:after="0"/>
              <w:rPr>
                <w:sz w:val="22"/>
                <w:szCs w:val="22"/>
                <w:color w:val="auto"/>
              </w:rPr>
            </w:pPr>
          </w:p>
        </w:tc>
        <w:tc>
          <w:tcPr>
            <w:tcW w:w="130" w:type="dxa"/>
            <w:vAlign w:val="bottom"/>
            <w:tcBorders>
              <w:bottom w:val="single" w:sz="8" w:color="CFF0FC"/>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10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250,457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410" w:type="dxa"/>
            <w:vAlign w:val="bottom"/>
            <w:tcBorders>
              <w:top w:val="single" w:sz="8" w:color="CFF0FC"/>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Loss from operations</w:t>
            </w:r>
          </w:p>
        </w:tc>
        <w:tc>
          <w:tcPr>
            <w:tcW w:w="130" w:type="dxa"/>
            <w:vAlign w:val="bottom"/>
            <w:tcBorders>
              <w:top w:val="single" w:sz="8" w:color="CFF0FC"/>
              <w:right w:val="single" w:sz="8" w:color="CFF0FC"/>
            </w:tcBorders>
            <w:shd w:val="clear" w:color="auto" w:fill="CFF0FC"/>
          </w:tcPr>
          <w:p>
            <w:pPr>
              <w:spacing w:after="0"/>
              <w:rPr>
                <w:sz w:val="18"/>
                <w:szCs w:val="18"/>
                <w:color w:val="auto"/>
              </w:rPr>
            </w:pPr>
          </w:p>
        </w:tc>
        <w:tc>
          <w:tcPr>
            <w:tcW w:w="110" w:type="dxa"/>
            <w:vAlign w:val="bottom"/>
            <w:tcBorders>
              <w:top w:val="single" w:sz="8" w:color="CFF0FC"/>
              <w:bottom w:val="single" w:sz="8" w:color="auto"/>
            </w:tcBorders>
            <w:shd w:val="clear" w:color="auto" w:fill="CFF0FC"/>
          </w:tcPr>
          <w:p>
            <w:pPr>
              <w:spacing w:after="0"/>
              <w:rPr>
                <w:sz w:val="18"/>
                <w:szCs w:val="18"/>
                <w:color w:val="auto"/>
              </w:rPr>
            </w:pPr>
          </w:p>
        </w:tc>
        <w:tc>
          <w:tcPr>
            <w:tcW w:w="97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(371,642</w:t>
            </w:r>
          </w:p>
        </w:tc>
        <w:tc>
          <w:tcPr>
            <w:tcW w:w="100" w:type="dxa"/>
            <w:vAlign w:val="bottom"/>
            <w:tcBorders>
              <w:top w:val="single" w:sz="8" w:color="CFF0FC"/>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tcPr>
          <w:p>
            <w:pPr>
              <w:spacing w:after="0"/>
              <w:rPr>
                <w:sz w:val="18"/>
                <w:szCs w:val="18"/>
                <w:color w:val="auto"/>
              </w:rPr>
            </w:pPr>
          </w:p>
        </w:tc>
        <w:tc>
          <w:tcPr>
            <w:tcW w:w="220" w:type="dxa"/>
            <w:vAlign w:val="bottom"/>
            <w:tcBorders>
              <w:top w:val="single" w:sz="8" w:color="CFF0FC"/>
              <w:bottom w:val="single" w:sz="8" w:color="auto"/>
            </w:tcBorders>
            <w:shd w:val="clear" w:color="auto" w:fill="CFF0FC"/>
          </w:tcPr>
          <w:p>
            <w:pPr>
              <w:spacing w:after="0"/>
              <w:rPr>
                <w:sz w:val="18"/>
                <w:szCs w:val="18"/>
                <w:color w:val="auto"/>
              </w:rPr>
            </w:pPr>
          </w:p>
        </w:tc>
        <w:tc>
          <w:tcPr>
            <w:tcW w:w="74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w w:val="97"/>
              </w:rPr>
              <w:t>(121,185</w:t>
            </w:r>
          </w:p>
        </w:tc>
        <w:tc>
          <w:tcPr>
            <w:tcW w:w="7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30" w:type="dxa"/>
            <w:vAlign w:val="bottom"/>
            <w:tcBorders>
              <w:top w:val="single" w:sz="8" w:color="CFF0FC"/>
            </w:tcBorders>
            <w:shd w:val="clear" w:color="auto" w:fill="CFF0FC"/>
          </w:tcPr>
          <w:p>
            <w:pPr>
              <w:spacing w:after="0"/>
              <w:rPr>
                <w:sz w:val="18"/>
                <w:szCs w:val="18"/>
                <w:color w:val="auto"/>
              </w:rPr>
            </w:pPr>
          </w:p>
        </w:tc>
        <w:tc>
          <w:tcPr>
            <w:tcW w:w="110" w:type="dxa"/>
            <w:vAlign w:val="bottom"/>
            <w:tcBorders>
              <w:top w:val="single" w:sz="8" w:color="CFF0FC"/>
              <w:bottom w:val="single" w:sz="8" w:color="auto"/>
            </w:tcBorders>
            <w:shd w:val="clear" w:color="auto" w:fill="CFF0FC"/>
          </w:tcPr>
          <w:p>
            <w:pPr>
              <w:spacing w:after="0"/>
              <w:rPr>
                <w:sz w:val="18"/>
                <w:szCs w:val="18"/>
                <w:color w:val="auto"/>
              </w:rPr>
            </w:pPr>
          </w:p>
        </w:tc>
        <w:tc>
          <w:tcPr>
            <w:tcW w:w="103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(250,457</w:t>
            </w: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33"/>
        </w:trPr>
        <w:tc>
          <w:tcPr>
            <w:tcW w:w="55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10" w:type="dxa"/>
            <w:vAlign w:val="bottom"/>
            <w:tcBorders>
              <w:bottom w:val="single" w:sz="8" w:color="CFF0FC"/>
            </w:tcBorders>
          </w:tcPr>
          <w:p>
            <w:pPr>
              <w:spacing w:after="0"/>
              <w:rPr>
                <w:sz w:val="20"/>
                <w:szCs w:val="20"/>
                <w:color w:val="auto"/>
              </w:rPr>
            </w:pPr>
          </w:p>
        </w:tc>
        <w:tc>
          <w:tcPr>
            <w:tcW w:w="97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70" w:type="dxa"/>
            <w:vAlign w:val="bottom"/>
            <w:tcBorders>
              <w:bottom w:val="single" w:sz="8" w:color="CFF0FC"/>
            </w:tcBorders>
          </w:tcPr>
          <w:p>
            <w:pPr>
              <w:spacing w:after="0"/>
              <w:rPr>
                <w:sz w:val="20"/>
                <w:szCs w:val="20"/>
                <w:color w:val="auto"/>
              </w:rPr>
            </w:pPr>
          </w:p>
        </w:tc>
        <w:tc>
          <w:tcPr>
            <w:tcW w:w="130" w:type="dxa"/>
            <w:vAlign w:val="bottom"/>
            <w:tcBorders>
              <w:bottom w:val="single" w:sz="8" w:color="CFF0FC"/>
            </w:tcBorders>
          </w:tcPr>
          <w:p>
            <w:pPr>
              <w:spacing w:after="0"/>
              <w:rPr>
                <w:sz w:val="20"/>
                <w:szCs w:val="20"/>
                <w:color w:val="auto"/>
              </w:rPr>
            </w:pPr>
          </w:p>
        </w:tc>
        <w:tc>
          <w:tcPr>
            <w:tcW w:w="110" w:type="dxa"/>
            <w:vAlign w:val="bottom"/>
            <w:tcBorders>
              <w:bottom w:val="single" w:sz="8" w:color="CFF0FC"/>
            </w:tcBorders>
          </w:tcPr>
          <w:p>
            <w:pPr>
              <w:spacing w:after="0"/>
              <w:rPr>
                <w:sz w:val="20"/>
                <w:szCs w:val="20"/>
                <w:color w:val="auto"/>
              </w:rPr>
            </w:pPr>
          </w:p>
        </w:tc>
        <w:tc>
          <w:tcPr>
            <w:tcW w:w="103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410" w:type="dxa"/>
            <w:vAlign w:val="bottom"/>
            <w:shd w:val="clear" w:color="auto" w:fill="CFF0FC"/>
          </w:tcPr>
          <w:p>
            <w:pPr>
              <w:ind w:left="200"/>
              <w:spacing w:after="0" w:line="224" w:lineRule="exact"/>
              <w:rPr>
                <w:sz w:val="20"/>
                <w:szCs w:val="20"/>
                <w:color w:val="auto"/>
              </w:rPr>
            </w:pPr>
            <w:r>
              <w:rPr>
                <w:rFonts w:ascii="Times New Roman" w:cs="Times New Roman" w:eastAsia="Times New Roman" w:hAnsi="Times New Roman"/>
                <w:sz w:val="20"/>
                <w:szCs w:val="20"/>
                <w:color w:val="auto"/>
              </w:rPr>
              <w:t>Interest income</w:t>
            </w:r>
          </w:p>
        </w:tc>
        <w:tc>
          <w:tcPr>
            <w:tcW w:w="130" w:type="dxa"/>
            <w:vAlign w:val="bottom"/>
            <w:tcBorders>
              <w:right w:val="single" w:sz="8" w:color="CFF0FC"/>
            </w:tcBorders>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97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5,868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4,271</w:t>
            </w:r>
          </w:p>
        </w:tc>
        <w:tc>
          <w:tcPr>
            <w:tcW w:w="70" w:type="dxa"/>
            <w:vAlign w:val="bottom"/>
            <w:shd w:val="clear" w:color="auto" w:fill="CFF0FC"/>
          </w:tcPr>
          <w:p>
            <w:pPr>
              <w:spacing w:after="0"/>
              <w:rPr>
                <w:sz w:val="19"/>
                <w:szCs w:val="19"/>
                <w:color w:val="auto"/>
              </w:rPr>
            </w:pPr>
          </w:p>
        </w:tc>
        <w:tc>
          <w:tcPr>
            <w:tcW w:w="13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103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1,597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1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20"/>
                <w:szCs w:val="20"/>
                <w:color w:val="auto"/>
              </w:rPr>
              <w:t>Other income</w:t>
            </w:r>
          </w:p>
        </w:tc>
        <w:tc>
          <w:tcPr>
            <w:tcW w:w="130" w:type="dxa"/>
            <w:vAlign w:val="bottom"/>
            <w:tcBorders>
              <w:bottom w:val="single" w:sz="8" w:color="CFF0FC"/>
            </w:tcBorders>
          </w:tcPr>
          <w:p>
            <w:pPr>
              <w:spacing w:after="0"/>
              <w:rPr>
                <w:sz w:val="21"/>
                <w:szCs w:val="21"/>
                <w:color w:val="auto"/>
              </w:rPr>
            </w:pPr>
          </w:p>
        </w:tc>
        <w:tc>
          <w:tcPr>
            <w:tcW w:w="110" w:type="dxa"/>
            <w:vAlign w:val="bottom"/>
            <w:tcBorders>
              <w:bottom w:val="single" w:sz="8" w:color="CFF0FC"/>
            </w:tcBorders>
          </w:tcPr>
          <w:p>
            <w:pPr>
              <w:spacing w:after="0"/>
              <w:rPr>
                <w:sz w:val="21"/>
                <w:szCs w:val="21"/>
                <w:color w:val="auto"/>
              </w:rPr>
            </w:pPr>
          </w:p>
        </w:tc>
        <w:tc>
          <w:tcPr>
            <w:tcW w:w="97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 w:type="dxa"/>
            <w:vAlign w:val="bottom"/>
            <w:tcBorders>
              <w:bottom w:val="single" w:sz="8" w:color="CFF0FC"/>
            </w:tcBorders>
          </w:tcPr>
          <w:p>
            <w:pPr>
              <w:spacing w:after="0"/>
              <w:rPr>
                <w:sz w:val="21"/>
                <w:szCs w:val="21"/>
                <w:color w:val="auto"/>
              </w:rPr>
            </w:pPr>
          </w:p>
        </w:tc>
        <w:tc>
          <w:tcPr>
            <w:tcW w:w="130" w:type="dxa"/>
            <w:vAlign w:val="bottom"/>
            <w:tcBorders>
              <w:bottom w:val="single" w:sz="8" w:color="CFF0FC"/>
            </w:tcBorders>
          </w:tcPr>
          <w:p>
            <w:pPr>
              <w:spacing w:after="0"/>
              <w:rPr>
                <w:sz w:val="21"/>
                <w:szCs w:val="21"/>
                <w:color w:val="auto"/>
              </w:rPr>
            </w:pPr>
          </w:p>
        </w:tc>
        <w:tc>
          <w:tcPr>
            <w:tcW w:w="110" w:type="dxa"/>
            <w:vAlign w:val="bottom"/>
            <w:tcBorders>
              <w:bottom w:val="single" w:sz="8" w:color="CFF0FC"/>
            </w:tcBorders>
          </w:tcPr>
          <w:p>
            <w:pPr>
              <w:spacing w:after="0"/>
              <w:rPr>
                <w:sz w:val="21"/>
                <w:szCs w:val="21"/>
                <w:color w:val="auto"/>
              </w:rPr>
            </w:pPr>
          </w:p>
        </w:tc>
        <w:tc>
          <w:tcPr>
            <w:tcW w:w="103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410" w:type="dxa"/>
            <w:vAlign w:val="bottom"/>
            <w:shd w:val="clear" w:color="auto" w:fill="CFF0FC"/>
          </w:tcPr>
          <w:p>
            <w:pPr>
              <w:ind w:left="200"/>
              <w:spacing w:after="0" w:line="224" w:lineRule="exact"/>
              <w:rPr>
                <w:sz w:val="20"/>
                <w:szCs w:val="20"/>
                <w:color w:val="auto"/>
              </w:rPr>
            </w:pPr>
            <w:r>
              <w:rPr>
                <w:rFonts w:ascii="Times New Roman" w:cs="Times New Roman" w:eastAsia="Times New Roman" w:hAnsi="Times New Roman"/>
                <w:sz w:val="20"/>
                <w:szCs w:val="20"/>
                <w:color w:val="auto"/>
              </w:rPr>
              <w:t>Change in fair value of warrant liabilities</w:t>
            </w:r>
          </w:p>
        </w:tc>
        <w:tc>
          <w:tcPr>
            <w:tcW w:w="130" w:type="dxa"/>
            <w:vAlign w:val="bottom"/>
            <w:tcBorders>
              <w:right w:val="single" w:sz="8" w:color="CFF0FC"/>
            </w:tcBorders>
            <w:shd w:val="clear" w:color="auto" w:fill="CFF0FC"/>
          </w:tcPr>
          <w:p>
            <w:pPr>
              <w:spacing w:after="0"/>
              <w:rPr>
                <w:sz w:val="19"/>
                <w:szCs w:val="19"/>
                <w:color w:val="auto"/>
              </w:rPr>
            </w:pPr>
          </w:p>
        </w:tc>
        <w:tc>
          <w:tcPr>
            <w:tcW w:w="110" w:type="dxa"/>
            <w:vAlign w:val="bottom"/>
            <w:tcBorders>
              <w:bottom w:val="single" w:sz="8" w:color="auto"/>
            </w:tcBorders>
            <w:shd w:val="clear" w:color="auto" w:fill="CFF0FC"/>
          </w:tcPr>
          <w:p>
            <w:pPr>
              <w:spacing w:after="0"/>
              <w:rPr>
                <w:sz w:val="19"/>
                <w:szCs w:val="19"/>
                <w:color w:val="auto"/>
              </w:rPr>
            </w:pPr>
          </w:p>
        </w:tc>
        <w:tc>
          <w:tcPr>
            <w:tcW w:w="97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(334,358</w:t>
            </w:r>
          </w:p>
        </w:tc>
        <w:tc>
          <w:tcPr>
            <w:tcW w:w="10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0" w:type="dxa"/>
            <w:vAlign w:val="bottom"/>
            <w:shd w:val="clear" w:color="auto" w:fill="CFF0FC"/>
          </w:tcPr>
          <w:p>
            <w:pPr>
              <w:spacing w:after="0"/>
              <w:rPr>
                <w:sz w:val="19"/>
                <w:szCs w:val="19"/>
                <w:color w:val="auto"/>
              </w:rPr>
            </w:pPr>
          </w:p>
        </w:tc>
        <w:tc>
          <w:tcPr>
            <w:tcW w:w="130" w:type="dxa"/>
            <w:vAlign w:val="bottom"/>
            <w:shd w:val="clear" w:color="auto" w:fill="CFF0FC"/>
          </w:tcPr>
          <w:p>
            <w:pPr>
              <w:spacing w:after="0"/>
              <w:rPr>
                <w:sz w:val="19"/>
                <w:szCs w:val="19"/>
                <w:color w:val="auto"/>
              </w:rPr>
            </w:pPr>
          </w:p>
        </w:tc>
        <w:tc>
          <w:tcPr>
            <w:tcW w:w="110" w:type="dxa"/>
            <w:vAlign w:val="bottom"/>
            <w:tcBorders>
              <w:bottom w:val="single" w:sz="8" w:color="auto"/>
            </w:tcBorders>
            <w:shd w:val="clear" w:color="auto" w:fill="CFF0FC"/>
          </w:tcPr>
          <w:p>
            <w:pPr>
              <w:spacing w:after="0"/>
              <w:rPr>
                <w:sz w:val="19"/>
                <w:szCs w:val="19"/>
                <w:color w:val="auto"/>
              </w:rPr>
            </w:pPr>
          </w:p>
        </w:tc>
        <w:tc>
          <w:tcPr>
            <w:tcW w:w="1030" w:type="dxa"/>
            <w:vAlign w:val="bottom"/>
            <w:tcBorders>
              <w:bottom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(334,358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59"/>
        </w:trPr>
        <w:tc>
          <w:tcPr>
            <w:tcW w:w="5540" w:type="dxa"/>
            <w:vAlign w:val="bottom"/>
            <w:tcBorders>
              <w:bottom w:val="single" w:sz="8" w:color="CFF0FC"/>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other (expense) income</w:t>
            </w:r>
          </w:p>
        </w:tc>
        <w:tc>
          <w:tcPr>
            <w:tcW w:w="110" w:type="dxa"/>
            <w:vAlign w:val="bottom"/>
            <w:tcBorders>
              <w:bottom w:val="single" w:sz="8" w:color="auto"/>
            </w:tcBorders>
          </w:tcPr>
          <w:p>
            <w:pPr>
              <w:spacing w:after="0"/>
              <w:rPr>
                <w:sz w:val="22"/>
                <w:szCs w:val="22"/>
                <w:color w:val="auto"/>
              </w:rPr>
            </w:pPr>
          </w:p>
        </w:tc>
        <w:tc>
          <w:tcPr>
            <w:tcW w:w="9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(324,339</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4,271</w:t>
            </w:r>
          </w:p>
        </w:tc>
        <w:tc>
          <w:tcPr>
            <w:tcW w:w="70" w:type="dxa"/>
            <w:vAlign w:val="bottom"/>
            <w:tcBorders>
              <w:bottom w:val="single" w:sz="8" w:color="CFF0FC"/>
            </w:tcBorders>
          </w:tcPr>
          <w:p>
            <w:pPr>
              <w:spacing w:after="0"/>
              <w:rPr>
                <w:sz w:val="22"/>
                <w:szCs w:val="22"/>
                <w:color w:val="auto"/>
              </w:rPr>
            </w:pPr>
          </w:p>
        </w:tc>
        <w:tc>
          <w:tcPr>
            <w:tcW w:w="130" w:type="dxa"/>
            <w:vAlign w:val="bottom"/>
            <w:tcBorders>
              <w:bottom w:val="single" w:sz="8" w:color="CFF0FC"/>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10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(328,610</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5"/>
        </w:trPr>
        <w:tc>
          <w:tcPr>
            <w:tcW w:w="5410" w:type="dxa"/>
            <w:vAlign w:val="bottom"/>
            <w:tcBorders>
              <w:top w:val="single" w:sz="8" w:color="CFF0FC"/>
            </w:tcBorders>
            <w:shd w:val="clear" w:color="auto" w:fill="CFF0FC"/>
          </w:tcPr>
          <w:p>
            <w:pPr>
              <w:spacing w:after="0" w:line="215" w:lineRule="exact"/>
              <w:rPr>
                <w:sz w:val="20"/>
                <w:szCs w:val="20"/>
                <w:color w:val="auto"/>
              </w:rPr>
            </w:pPr>
            <w:r>
              <w:rPr>
                <w:rFonts w:ascii="Times New Roman" w:cs="Times New Roman" w:eastAsia="Times New Roman" w:hAnsi="Times New Roman"/>
                <w:sz w:val="20"/>
                <w:szCs w:val="20"/>
                <w:color w:val="auto"/>
              </w:rPr>
              <w:t>Net loss</w:t>
            </w:r>
          </w:p>
        </w:tc>
        <w:tc>
          <w:tcPr>
            <w:tcW w:w="130" w:type="dxa"/>
            <w:vAlign w:val="bottom"/>
            <w:tcBorders>
              <w:top w:val="single" w:sz="8" w:color="CFF0FC"/>
              <w:right w:val="single" w:sz="8" w:color="CFF0FC"/>
            </w:tcBorders>
            <w:shd w:val="clear" w:color="auto" w:fill="CFF0FC"/>
          </w:tcPr>
          <w:p>
            <w:pPr>
              <w:spacing w:after="0"/>
              <w:rPr>
                <w:sz w:val="18"/>
                <w:szCs w:val="18"/>
                <w:color w:val="auto"/>
              </w:rPr>
            </w:pPr>
          </w:p>
        </w:tc>
        <w:tc>
          <w:tcPr>
            <w:tcW w:w="11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97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(695,981</w:t>
            </w:r>
          </w:p>
        </w:tc>
        <w:tc>
          <w:tcPr>
            <w:tcW w:w="100" w:type="dxa"/>
            <w:vAlign w:val="bottom"/>
            <w:tcBorders>
              <w:top w:val="single" w:sz="8" w:color="CFF0FC"/>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auto"/>
            </w:tcBorders>
            <w:gridSpan w:val="2"/>
            <w:shd w:val="clear" w:color="auto" w:fill="CFF0FC"/>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20" w:type="dxa"/>
            <w:vAlign w:val="bottom"/>
            <w:tcBorders>
              <w:top w:val="single" w:sz="8" w:color="CFF0FC"/>
              <w:bottom w:val="single" w:sz="8" w:color="auto"/>
            </w:tcBorders>
          </w:tcPr>
          <w:p>
            <w:pPr>
              <w:spacing w:after="0"/>
              <w:rPr>
                <w:sz w:val="18"/>
                <w:szCs w:val="18"/>
                <w:color w:val="auto"/>
              </w:rPr>
            </w:pPr>
          </w:p>
        </w:tc>
        <w:tc>
          <w:tcPr>
            <w:tcW w:w="220" w:type="dxa"/>
            <w:vAlign w:val="bottom"/>
            <w:tcBorders>
              <w:top w:val="single" w:sz="8" w:color="CFF0FC"/>
              <w:bottom w:val="single" w:sz="8" w:color="auto"/>
            </w:tcBorders>
            <w:shd w:val="clear" w:color="auto" w:fill="CFF0FC"/>
          </w:tcPr>
          <w:p>
            <w:pPr>
              <w:spacing w:after="0"/>
              <w:rPr>
                <w:sz w:val="18"/>
                <w:szCs w:val="18"/>
                <w:color w:val="auto"/>
              </w:rPr>
            </w:pPr>
          </w:p>
        </w:tc>
        <w:tc>
          <w:tcPr>
            <w:tcW w:w="74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97"/>
              </w:rPr>
              <w:t>(116,914</w:t>
            </w:r>
          </w:p>
        </w:tc>
        <w:tc>
          <w:tcPr>
            <w:tcW w:w="7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30" w:type="dxa"/>
            <w:vAlign w:val="bottom"/>
            <w:tcBorders>
              <w:top w:val="single" w:sz="8" w:color="CFF0FC"/>
            </w:tcBorders>
            <w:shd w:val="clear" w:color="auto" w:fill="CFF0FC"/>
          </w:tcPr>
          <w:p>
            <w:pPr>
              <w:spacing w:after="0"/>
              <w:rPr>
                <w:sz w:val="18"/>
                <w:szCs w:val="18"/>
                <w:color w:val="auto"/>
              </w:rPr>
            </w:pPr>
          </w:p>
        </w:tc>
        <w:tc>
          <w:tcPr>
            <w:tcW w:w="11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03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(579,067</w:t>
            </w: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0"/>
        </w:trPr>
        <w:tc>
          <w:tcPr>
            <w:tcW w:w="54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3517900</wp:posOffset>
                </wp:positionH>
                <wp:positionV relativeFrom="paragraph">
                  <wp:posOffset>-1891665</wp:posOffset>
                </wp:positionV>
                <wp:extent cx="151892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89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pt,-148.9499pt" to="396.6pt,-148.9499pt" o:allowincell="f" strokecolor="#FFFFFF" strokeweight="0.72pt"/>
            </w:pict>
          </mc:Fallback>
        </mc:AlternateContent>
        <w:drawing>
          <wp:anchor simplePos="0" relativeHeight="251657728" behindDoc="1" locked="0" layoutInCell="0" allowOverlap="1">
            <wp:simplePos x="0" y="0"/>
            <wp:positionH relativeFrom="column">
              <wp:posOffset>0</wp:posOffset>
            </wp:positionH>
            <wp:positionV relativeFrom="paragraph">
              <wp:posOffset>-1776730</wp:posOffset>
            </wp:positionV>
            <wp:extent cx="5943600" cy="180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extLst>
                    </a:blip>
                    <a:srcRect/>
                    <a:stretch>
                      <a:fillRect/>
                    </a:stretch>
                  </pic:blipFill>
                  <pic:spPr bwMode="auto">
                    <a:xfrm>
                      <a:off x="0" y="0"/>
                      <a:ext cx="5943600" cy="1809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-982980</wp:posOffset>
            </wp:positionV>
            <wp:extent cx="434594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4345940" cy="1803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3517900</wp:posOffset>
                </wp:positionH>
                <wp:positionV relativeFrom="paragraph">
                  <wp:posOffset>-340360</wp:posOffset>
                </wp:positionV>
                <wp:extent cx="69024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2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pt,-26.7999pt" to="331.35pt,-26.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4345305</wp:posOffset>
                </wp:positionH>
                <wp:positionV relativeFrom="paragraph">
                  <wp:posOffset>-340360</wp:posOffset>
                </wp:positionV>
                <wp:extent cx="6915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15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15pt,-26.7999pt" to="396.6pt,-26.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5174615</wp:posOffset>
                </wp:positionH>
                <wp:positionV relativeFrom="paragraph">
                  <wp:posOffset>-340360</wp:posOffset>
                </wp:positionV>
                <wp:extent cx="7118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45pt,-26.7999pt" to="463.5pt,-26.7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20" w:right="1440" w:bottom="175" w:gutter="0" w:footer="0" w:header="0"/>
        </w:sectPr>
      </w:pPr>
    </w:p>
    <w:bookmarkStart w:id="89" w:name="page90"/>
    <w:bookmarkEnd w:id="89"/>
    <w:p>
      <w:pPr>
        <w:ind w:left="62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 incurred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jc w:val="center"/>
              <w:ind w:left="50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left="52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3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37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External research expenses:</w:t>
            </w:r>
          </w:p>
        </w:tc>
        <w:tc>
          <w:tcPr>
            <w:tcW w:w="11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Telitacicept - gMG</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24,959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Telitacicept - SjD</w:t>
            </w:r>
          </w:p>
        </w:tc>
        <w:tc>
          <w:tcPr>
            <w:tcW w:w="11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Trem-cel</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(9,468 )</w:t>
            </w:r>
          </w:p>
        </w:tc>
        <w:tc>
          <w:tcPr>
            <w:tcW w:w="0" w:type="dxa"/>
            <w:vAlign w:val="bottom"/>
          </w:tcPr>
          <w:p>
            <w:pPr>
              <w:spacing w:after="0"/>
              <w:rPr>
                <w:sz w:val="1"/>
                <w:szCs w:val="1"/>
                <w:color w:val="auto"/>
              </w:rPr>
            </w:pPr>
          </w:p>
        </w:tc>
      </w:tr>
      <w:tr>
        <w:trPr>
          <w:trHeight w:val="244"/>
        </w:trPr>
        <w:tc>
          <w:tcPr>
            <w:tcW w:w="53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VCAR33</w:t>
            </w:r>
          </w:p>
        </w:tc>
        <w:tc>
          <w:tcPr>
            <w:tcW w:w="11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8,930</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(2,930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44"/>
        </w:trPr>
        <w:tc>
          <w:tcPr>
            <w:tcW w:w="55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Other research and development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229,092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216,484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Internal research expenses:</w:t>
            </w:r>
          </w:p>
        </w:tc>
        <w:tc>
          <w:tcPr>
            <w:tcW w:w="11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5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Salaries and benefits (including stock-based compensation)</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26,389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38,309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(11,920 )</w:t>
            </w:r>
          </w:p>
        </w:tc>
        <w:tc>
          <w:tcPr>
            <w:tcW w:w="0" w:type="dxa"/>
            <w:vAlign w:val="bottom"/>
          </w:tcPr>
          <w:p>
            <w:pPr>
              <w:spacing w:after="0"/>
              <w:rPr>
                <w:sz w:val="1"/>
                <w:szCs w:val="1"/>
                <w:color w:val="auto"/>
              </w:rPr>
            </w:pPr>
          </w:p>
        </w:tc>
      </w:tr>
      <w:tr>
        <w:trPr>
          <w:trHeight w:val="245"/>
        </w:trPr>
        <w:tc>
          <w:tcPr>
            <w:tcW w:w="537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Manufacturing, facilities, and other research expenses</w:t>
            </w:r>
          </w:p>
        </w:tc>
        <w:tc>
          <w:tcPr>
            <w:tcW w:w="11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22,355</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14,558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7,797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321,532</w:t>
            </w:r>
          </w:p>
        </w:tc>
        <w:tc>
          <w:tcPr>
            <w:tcW w:w="220" w:type="dxa"/>
            <w:vAlign w:val="bottom"/>
            <w:gridSpan w:val="2"/>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93,310</w:t>
            </w:r>
          </w:p>
        </w:tc>
        <w:tc>
          <w:tcPr>
            <w:tcW w:w="22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Research and development expenses were $321.5 million for the year ended December 31, 2025, compared to $93.3 million for the year ended December 31, 2024. The increase of $228.2 million was primarily attributable to the $222.6 million of expense incurred in 2025 for the purchase of the telitacicept license (included as a component of other research and development), a $25.0 million increase due to new spend for Telitacicept-gMG, an increase in manufacturing, facilities, and other expenses of $7.8 million primarily due to lease impairments taken in 2025 in connection with the Restructuring Plan, and a $3.3 million increase due to new spend for Telitaciept- SjD. These increases were offset in part by a $11.9 million decrease in personnel-related costs due to the Restructuring Plan, and decreases of $9.5 million in Trem-cel spend and $2.9 million in VCAR33 spend due to the discontinuation of those programs in the first half of 2025. In addition, the increase in Other research and development attributed to the telitacicept license was partially offset by a decrease of $7.1 million in non-license spend, attributable primarily to decreases in lab supplies and consumables, consulting fees, and software expenses, due to our decrease in related activities as part of the Restructuring Plan.</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right="20" w:firstLine="612"/>
        <w:spacing w:after="0" w:line="242" w:lineRule="auto"/>
        <w:rPr>
          <w:sz w:val="20"/>
          <w:szCs w:val="20"/>
          <w:color w:val="auto"/>
        </w:rPr>
      </w:pPr>
      <w:r>
        <w:rPr>
          <w:rFonts w:ascii="Times New Roman" w:cs="Times New Roman" w:eastAsia="Times New Roman" w:hAnsi="Times New Roman"/>
          <w:sz w:val="20"/>
          <w:szCs w:val="20"/>
          <w:color w:val="auto"/>
        </w:rPr>
        <w:t>General and administrative expenses were $50.1 million for the year ended December 31, 2025, compared to $27.9 million for the year ended December 31, 2024. The increase of $22.2 million was primarily attributable to an increase of $11.8 million in stock-based compensation, an increase of $4.9 million in legal and professional fees, an increase of $ 3.9 million in personnel costs, and an increase of $1.6 million in facilities, equipment, and other costs. The increase in stock-based compensation was primarily driven by grants to new hires, including grants to the new executives hired during the year, as well as an appreciation in our stock price and incremental expense recognized from award modifications which took place during the year. The increase in personnel costs was driven by the severance costs incurred in connection with the Restructuring Plan, partially offset by a reduction in headcount compared to the prior year. The increase in legal and professional fees was driven primarily by increased consulting costs incurred in the current year compared to prior year due to our transition after the implementation of the Restructuring Plan. The increase in these fees was also attributable to an increase in legal fees driven by the increase in transactions which occurred during the year, as well as accounting fees relating to incremental reviews of significant transactions. The increase in facilities and other costs was primarily driven by an increase in rent expense allocated to general and administrative expense as a result of the shift in headcount brought on by the Restructuring Plan, and an increase in software related expenses in the current year.</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118" w:lineRule="exact"/>
        <w:rPr>
          <w:sz w:val="20"/>
          <w:szCs w:val="20"/>
          <w:color w:val="auto"/>
        </w:rPr>
      </w:pPr>
    </w:p>
    <w:p>
      <w:pPr>
        <w:ind w:right="100" w:firstLine="612"/>
        <w:spacing w:after="0" w:line="249" w:lineRule="auto"/>
        <w:rPr>
          <w:sz w:val="20"/>
          <w:szCs w:val="20"/>
          <w:color w:val="auto"/>
        </w:rPr>
      </w:pPr>
      <w:r>
        <w:rPr>
          <w:rFonts w:ascii="Times New Roman" w:cs="Times New Roman" w:eastAsia="Times New Roman" w:hAnsi="Times New Roman"/>
          <w:sz w:val="20"/>
          <w:szCs w:val="20"/>
          <w:color w:val="auto"/>
        </w:rPr>
        <w:t>Other income (expense), net decreased by $328.6 million for the year ended December 31, 2025, compared to the year ended December 31, 2024. The decrease was primarily due to the $334.4 million loss on the change in fair value of warrant liabilities, partially offset by a $ 1.6 million increase in interest income due to an increase in cash, cash equivalents and marketable securities and $4.1 million of income recognized from the sale of intellectual property in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22" w:right="1440" w:bottom="175"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19" w:lineRule="exact"/>
        <w:rPr>
          <w:sz w:val="20"/>
          <w:szCs w:val="20"/>
          <w:color w:val="auto"/>
        </w:rPr>
      </w:pPr>
    </w:p>
    <w:p>
      <w:pPr>
        <w:ind w:right="20" w:firstLine="612"/>
        <w:spacing w:after="0" w:line="249" w:lineRule="auto"/>
        <w:rPr>
          <w:sz w:val="20"/>
          <w:szCs w:val="20"/>
          <w:color w:val="auto"/>
        </w:rPr>
      </w:pPr>
      <w:r>
        <w:rPr>
          <w:rFonts w:ascii="Times New Roman" w:cs="Times New Roman" w:eastAsia="Times New Roman" w:hAnsi="Times New Roman"/>
          <w:sz w:val="20"/>
          <w:szCs w:val="20"/>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We have funded our operations primarily through the sale of equity securities and have received aggregate net proceeds from these transactions of approximately $1,019.1 million as of December 31, 2025.</w:t>
      </w:r>
    </w:p>
    <w:p>
      <w:pPr>
        <w:spacing w:after="0" w:line="77" w:lineRule="exact"/>
        <w:rPr>
          <w:sz w:val="20"/>
          <w:szCs w:val="20"/>
          <w:color w:val="auto"/>
        </w:rPr>
      </w:pPr>
    </w:p>
    <w:p>
      <w:pPr>
        <w:ind w:right="100" w:firstLine="612"/>
        <w:spacing w:after="0" w:line="249" w:lineRule="auto"/>
        <w:rPr>
          <w:sz w:val="20"/>
          <w:szCs w:val="20"/>
          <w:color w:val="auto"/>
        </w:rPr>
      </w:pPr>
      <w:r>
        <w:rPr>
          <w:rFonts w:ascii="Times New Roman" w:cs="Times New Roman" w:eastAsia="Times New Roman" w:hAnsi="Times New Roman"/>
          <w:sz w:val="20"/>
          <w:szCs w:val="20"/>
          <w:color w:val="auto"/>
        </w:rPr>
        <w:t>In order to fund our future operations, including our ongoing and planned clinical trials, we filed a universal shelf registration statement, which was declared effective on March 31, 2025, to provide for aggregate offerings of up to $350.0 million of common stock, preferred stock, debt securities, warrants or any combination thereof. As of December 31, 2025, $164.2 million remained available under the shelf registration statement, including $48.9 million reserved for at-the market offerings discussed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At-the-Market Sales Agreements</w:t>
      </w:r>
    </w:p>
    <w:p>
      <w:pPr>
        <w:spacing w:after="0" w:line="23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In December 2022, we entered into a Sales Agreement with Stifel, Nicolaus &amp; Company, Incorporated (“Stifel”) as the agent (the “Stifel ATM Facility”). Pursuant to the Stifel ATM Facility, we may offer and sell shares of common stock with an aggregate value of up to $125.0 million. We pay Stifel a commission of up to 3.0% of the gross proceeds of any common stock sold through Stifel. We sold 1,910,861 and 12,454 shares of common stock under the Stifel ATM Facility during the years ended December 31, 2025 and 2024, respectively at a weighted average price per share of $37.06 and $32.09, respectively, for aggregate net proceeds of $70.1 million and $0.3 million, respectively, after deducting commissions. As of December 31, 2025, $48.9 million remained available to be sold under the Stifel ATM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Private Placement</w:t>
      </w:r>
    </w:p>
    <w:p>
      <w:pPr>
        <w:spacing w:after="0" w:line="11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On December 27, 2024, we entered into a purchase agreement with certain institutional investors pursuant to which we issued and sold in a private placement an aggregate of (i) 2,793,562 shares of common stock and (ii) warrants to purchase up to 3,491,953 shares of common stock at the closing of the private placement on December 30, 2024 (the "December 2024 Private Placement"). Net proceeds from the private placement were $52.7 million, after deducting placement fees and issuance costs payable by us. If exercised for cash, the warrants would result in additional gross proceeds to us of up to approximately $58.5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2025 Private Placement</w:t>
      </w:r>
    </w:p>
    <w:p>
      <w:pPr>
        <w:spacing w:after="0" w:line="237" w:lineRule="exact"/>
        <w:rPr>
          <w:sz w:val="20"/>
          <w:szCs w:val="20"/>
          <w:color w:val="auto"/>
        </w:rPr>
      </w:pPr>
    </w:p>
    <w:p>
      <w:pPr>
        <w:ind w:right="40" w:firstLine="490"/>
        <w:spacing w:after="0" w:line="270" w:lineRule="auto"/>
        <w:rPr>
          <w:sz w:val="20"/>
          <w:szCs w:val="20"/>
          <w:color w:val="auto"/>
        </w:rPr>
      </w:pPr>
      <w:r>
        <w:rPr>
          <w:rFonts w:ascii="Times New Roman" w:cs="Times New Roman" w:eastAsia="Times New Roman" w:hAnsi="Times New Roman"/>
          <w:sz w:val="19"/>
          <w:szCs w:val="19"/>
          <w:color w:val="auto"/>
        </w:rPr>
        <w:t>On June 25, 2025, we entered into a purchase agreement with certain institutional investors, pursuant to which we issued and sold in a private placement pre-funded warrants to purchase up to an aggregate of 34,999,999 shares of common stock (the “2025 PIPE Warrants”) at the closing on June 27, 2025 (the "June 2025 Private Placement"). Net proceeds from the private placement were $174.4 million, after deducting issuance costs payable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November 2025 Public Offering</w:t>
      </w:r>
    </w:p>
    <w:p>
      <w:pPr>
        <w:spacing w:after="0" w:line="237"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auto"/>
        </w:rPr>
        <w:t>On November 10, 2025, we entered into an underwriting agreement relating to the issuance and sale in a public offering of 11,500,000 shares of common stock, including 1,500,00 shares purchased by the underwriters under a 30-day option to purchase additional shares (the “November 2025 Offering”) at a public offering price of $10.00 per share. The net proceeds from the November 2025 Offering were $107.7 million after deducting the underwriting discounts and commissions and offering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December 2025 Private Placement</w:t>
      </w:r>
    </w:p>
    <w:p>
      <w:pPr>
        <w:spacing w:after="0" w:line="237"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On December 15, 2025, we entered into a purchase agreement with certain investors pursuant to which we issued and sold an aggregate of 13,876,032 shares of common stock, at a price per share of $10.81, for net proceeds of $149.9 million after deducting issuance costs payable by us (the "December 2025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16" w:right="1440" w:bottom="175"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i w:val="1"/>
          <w:iCs w:val="1"/>
          <w:color w:val="auto"/>
        </w:rPr>
        <w:t>March 2026 Private Placement</w:t>
      </w:r>
    </w:p>
    <w:p>
      <w:pPr>
        <w:spacing w:after="0" w:line="237"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On March 26, 2026, we entered into a purchase agreement with certain institutional investors pursuant to which we agreed to issue and sell an aggregate of 5,338,078 shares of common stock, at a price per share of $14.05, for gross proceeds of $75.0 million before deducting issuance costs payable by us. The closing of the private placement is expected to occur on March 30, 2026, subject to satisfaction of customary closing conditions.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Requirements</w:t>
      </w:r>
    </w:p>
    <w:p>
      <w:pPr>
        <w:spacing w:after="0" w:line="119" w:lineRule="exact"/>
        <w:rPr>
          <w:sz w:val="20"/>
          <w:szCs w:val="20"/>
          <w:color w:val="auto"/>
        </w:rPr>
      </w:pPr>
    </w:p>
    <w:p>
      <w:pPr>
        <w:ind w:right="300" w:firstLine="612"/>
        <w:spacing w:after="0" w:line="278" w:lineRule="auto"/>
        <w:rPr>
          <w:sz w:val="20"/>
          <w:szCs w:val="20"/>
          <w:color w:val="auto"/>
        </w:rPr>
      </w:pPr>
      <w:r>
        <w:rPr>
          <w:rFonts w:ascii="Times New Roman" w:cs="Times New Roman" w:eastAsia="Times New Roman" w:hAnsi="Times New Roman"/>
          <w:sz w:val="20"/>
          <w:szCs w:val="20"/>
          <w:color w:val="auto"/>
        </w:rPr>
        <w:t>As of December 31, 2025, we had cash, cash equivalents and marketable securities of $455.2 million. We will need to raise additional capital to fund our planned future operations.</w:t>
      </w:r>
    </w:p>
    <w:p>
      <w:pPr>
        <w:spacing w:after="0" w:line="48" w:lineRule="exact"/>
        <w:rPr>
          <w:sz w:val="20"/>
          <w:szCs w:val="20"/>
          <w:color w:val="auto"/>
        </w:rPr>
      </w:pPr>
    </w:p>
    <w:p>
      <w:pPr>
        <w:ind w:right="80" w:firstLine="612"/>
        <w:spacing w:after="0" w:line="252" w:lineRule="auto"/>
        <w:rPr>
          <w:sz w:val="20"/>
          <w:szCs w:val="20"/>
          <w:color w:val="auto"/>
        </w:rPr>
      </w:pPr>
      <w:r>
        <w:rPr>
          <w:rFonts w:ascii="Times New Roman" w:cs="Times New Roman" w:eastAsia="Times New Roman" w:hAnsi="Times New Roman"/>
          <w:sz w:val="20"/>
          <w:szCs w:val="20"/>
          <w:color w:val="auto"/>
        </w:rPr>
        <w:t>We expect that our existing cash, cash equivalents and marketable securities at December 31, 2025, together with the expected proceeds from our 2026 Private Placement, will enable us to fund our operating expenses and capital expenditure requirements into early 2029. We have based this estimate on assumptions that may prove to be wrong and we could exhaust our capital resources sooner than we expect.</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expect our expenses to increase substantially if, and as, we:</w:t>
      </w:r>
    </w:p>
    <w:p>
      <w:pPr>
        <w:spacing w:after="0" w:line="135" w:lineRule="exact"/>
        <w:rPr>
          <w:sz w:val="20"/>
          <w:szCs w:val="20"/>
          <w:color w:val="auto"/>
        </w:rPr>
      </w:pPr>
    </w:p>
    <w:p>
      <w:pPr>
        <w:ind w:left="860" w:right="260" w:hanging="249"/>
        <w:spacing w:after="0" w:line="262" w:lineRule="auto"/>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clinical development of our product candidate and any future product candidates, including in particular the expenses associated with our clinical trials;</w:t>
      </w:r>
    </w:p>
    <w:p>
      <w:pPr>
        <w:spacing w:after="0" w:line="75" w:lineRule="exact"/>
        <w:rPr>
          <w:rFonts w:ascii="Symbol" w:cs="Symbol" w:eastAsia="Symbol" w:hAnsi="Symbol"/>
          <w:sz w:val="20"/>
          <w:szCs w:val="20"/>
          <w:color w:val="auto"/>
        </w:rPr>
      </w:pPr>
    </w:p>
    <w:p>
      <w:pPr>
        <w:ind w:left="860" w:right="60" w:hanging="249"/>
        <w:spacing w:after="0" w:line="262" w:lineRule="auto"/>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incur third party manufacturing costs to support our clinical trials of our product candidate and any future product candidates and, if approved, their commercialization;</w:t>
      </w:r>
    </w:p>
    <w:p>
      <w:pPr>
        <w:spacing w:after="0" w:line="76"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seek to identify and develop additional product candidates;</w:t>
      </w:r>
    </w:p>
    <w:p>
      <w:pPr>
        <w:spacing w:after="0" w:line="118"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seek regulatory and marketing approvals for our product candidate and any future product candidates;</w:t>
      </w:r>
    </w:p>
    <w:p>
      <w:pPr>
        <w:spacing w:after="0" w:line="118" w:lineRule="exact"/>
        <w:rPr>
          <w:rFonts w:ascii="Symbol" w:cs="Symbol" w:eastAsia="Symbol" w:hAnsi="Symbol"/>
          <w:sz w:val="20"/>
          <w:szCs w:val="20"/>
          <w:color w:val="auto"/>
        </w:rPr>
      </w:pPr>
    </w:p>
    <w:p>
      <w:pPr>
        <w:ind w:left="860" w:right="640" w:hanging="249"/>
        <w:spacing w:after="0" w:line="262" w:lineRule="auto"/>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approved product candidates;</w:t>
      </w:r>
    </w:p>
    <w:p>
      <w:pPr>
        <w:spacing w:after="0" w:line="76"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adapt our regulatory compliance efforts to incorporate requirements to applicable marketed products;</w:t>
      </w:r>
    </w:p>
    <w:p>
      <w:pPr>
        <w:spacing w:after="0" w:line="119"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acquire or in-license products, product candidates, or technologies;</w:t>
      </w:r>
    </w:p>
    <w:p>
      <w:pPr>
        <w:spacing w:after="0" w:line="118"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 expand, enforce, defend and protect our intellectual property;</w:t>
      </w:r>
    </w:p>
    <w:p>
      <w:pPr>
        <w:spacing w:after="0" w:line="119"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hire additional clinical, quality control, manufacturing and other scientific personnel;</w:t>
      </w:r>
    </w:p>
    <w:p>
      <w:pPr>
        <w:spacing w:after="0" w:line="119"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add operational, financial and management information systems and personnel;</w:t>
      </w:r>
    </w:p>
    <w:p>
      <w:pPr>
        <w:spacing w:after="0" w:line="118"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expand our office facility or establish dedicated laboratory and manufacturing facilities; and</w:t>
      </w:r>
    </w:p>
    <w:p>
      <w:pPr>
        <w:spacing w:after="0" w:line="119" w:lineRule="exact"/>
        <w:rPr>
          <w:rFonts w:ascii="Symbol" w:cs="Symbol" w:eastAsia="Symbol" w:hAnsi="Symbol"/>
          <w:sz w:val="20"/>
          <w:szCs w:val="20"/>
          <w:color w:val="auto"/>
        </w:rPr>
      </w:pPr>
    </w:p>
    <w:p>
      <w:pPr>
        <w:ind w:left="860" w:hanging="249"/>
        <w:spacing w:after="0"/>
        <w:tabs>
          <w:tab w:leader="none" w:pos="860" w:val="left"/>
        </w:tabs>
        <w:numPr>
          <w:ilvl w:val="0"/>
          <w:numId w:val="52"/>
        </w:numPr>
        <w:rPr>
          <w:rFonts w:ascii="Symbol" w:cs="Symbol" w:eastAsia="Symbol" w:hAnsi="Symbol"/>
          <w:sz w:val="20"/>
          <w:szCs w:val="20"/>
          <w:color w:val="auto"/>
        </w:rPr>
      </w:pPr>
      <w:r>
        <w:rPr>
          <w:rFonts w:ascii="Times New Roman" w:cs="Times New Roman" w:eastAsia="Times New Roman" w:hAnsi="Times New Roman"/>
          <w:sz w:val="20"/>
          <w:szCs w:val="20"/>
          <w:color w:val="auto"/>
        </w:rPr>
        <w:t>experience any delays or encounter any issues with any of the above.</w:t>
      </w:r>
    </w:p>
    <w:p>
      <w:pPr>
        <w:spacing w:after="0" w:line="2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we expect to continue to incur additional costs associated with operating as a public company, including significant legal, audit, accounting, investor and public relations, regulatory, tax-related, director and officer insurance premiums, investor relations and other expenses. 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products that we do not expect to be commercially available for at least several years, if ever.</w:t>
      </w:r>
    </w:p>
    <w:p>
      <w:pPr>
        <w:spacing w:after="0" w:line="206"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our equity, government or private party grants, debt financings or other capital sources, including potential collaborations with other companies or other strategic transactions. To the extent that we raise additional capital through the sale of our equity or convertible debt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22" w:right="1440" w:bottom="175" w:gutter="0" w:footer="0" w:header="0"/>
        </w:sectPr>
      </w:pPr>
    </w:p>
    <w:bookmarkStart w:id="92" w:name="page93"/>
    <w:bookmarkEnd w:id="92"/>
    <w:p>
      <w:pPr>
        <w:ind w:right="40"/>
        <w:spacing w:after="0" w:line="242" w:lineRule="auto"/>
        <w:rPr>
          <w:sz w:val="20"/>
          <w:szCs w:val="20"/>
          <w:color w:val="auto"/>
        </w:rPr>
      </w:pPr>
      <w:r>
        <w:rPr>
          <w:rFonts w:ascii="Times New Roman" w:cs="Times New Roman" w:eastAsia="Times New Roman" w:hAnsi="Times New Roman"/>
          <w:sz w:val="20"/>
          <w:szCs w:val="20"/>
          <w:color w:val="auto"/>
        </w:rPr>
        <w:t>securities, including through the use of the Stifel ATM Facility, the ownership interest of our shareholders will be or could be diluted, and the terms of these securities may include liquidation or other preferences that adversely affect the rights of our stockholders.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intellectual property, future revenue streams, research programs or product candidates or may have to grant licenses on terms that may not be favorable to us and/or may reduce the value of our common stock. Our ability to raise additional funds may be adversely impacted by worsening global economic conditions and disruptions to and volatility in the credit and financial markets in the United States and worldwide resulting from worsening geopolitical tensions and adverse macroeconomic conditions or otherwise.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20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We did not have during the periods presented, and we do not currently have, any off-balance sheet arrangements that have, or are reasonably likely to have, a material current or future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4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6420" w:type="dxa"/>
            <w:vAlign w:val="bottom"/>
            <w:gridSpan w:val="2"/>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280" w:type="dxa"/>
            <w:vAlign w:val="bottom"/>
            <w:shd w:val="clear" w:color="auto" w:fill="CFF0FC"/>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(142,713)</w:t>
            </w:r>
          </w:p>
        </w:tc>
        <w:tc>
          <w:tcPr>
            <w:tcW w:w="440" w:type="dxa"/>
            <w:vAlign w:val="bottom"/>
            <w:gridSpan w:val="3"/>
            <w:shd w:val="clear" w:color="auto" w:fill="CFF0FC"/>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(99,660)</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96,857</w:t>
            </w:r>
          </w:p>
        </w:tc>
      </w:tr>
      <w:tr>
        <w:trPr>
          <w:trHeight w:val="22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20"/>
                <w:szCs w:val="20"/>
                <w:color w:val="auto"/>
              </w:rPr>
              <w:t>503,807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20"/>
                <w:szCs w:val="20"/>
                <w:color w:val="auto"/>
              </w:rPr>
              <w:t>53,392</w:t>
            </w:r>
          </w:p>
        </w:tc>
      </w:tr>
      <w:tr>
        <w:trPr>
          <w:trHeight w:val="222"/>
        </w:trPr>
        <w:tc>
          <w:tcPr>
            <w:tcW w:w="64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Net increase in cash, cash equivalents and restricted cash equivalents</w:t>
            </w:r>
          </w:p>
        </w:tc>
        <w:tc>
          <w:tcPr>
            <w:tcW w:w="28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ind w:right="7"/>
              <w:spacing w:after="0" w:line="223" w:lineRule="exact"/>
              <w:rPr>
                <w:sz w:val="20"/>
                <w:szCs w:val="20"/>
                <w:color w:val="auto"/>
              </w:rPr>
            </w:pPr>
            <w:r>
              <w:rPr>
                <w:rFonts w:ascii="Times New Roman" w:cs="Times New Roman" w:eastAsia="Times New Roman" w:hAnsi="Times New Roman"/>
                <w:sz w:val="20"/>
                <w:szCs w:val="20"/>
                <w:color w:val="auto"/>
              </w:rPr>
              <w:t>312,292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50,589</w:t>
            </w: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7"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Net cash used in operating activities was $142.7 million for the year ended December 31, 2025, primarily reflecting a net loss of $696.0 million, offset primarily by non-cash charges of $543.1 million. The non-cash charges primarily consisted of the fair value of warrants issued in connection with entering into the Telitacicept License Agreement of $177.4 million, a $334.4 million loss due to the change in fair value of warrant liabilities, stock-based compensation expense of $18.9 million, non-cash lease expense of $5.6 million, a $3.3 million loss on the sale of equipment, and depreciation expense of $2.9 million, offset by non-cash interest accretion of $0.1 million. Changes in working capital balances increased by a net of $10.2 million during the year, driven primarily by an increase in accrued expenses and accounts payable due to increases in accrued clinical and manufacturing expenses, partially offset by a decrease in accrued expenses for personnel costs. The net cash used was also impacted by the $45.0 million payment made to Remegen for the telitacicept license.</w:t>
      </w:r>
    </w:p>
    <w:p>
      <w:pPr>
        <w:spacing w:after="0" w:line="82" w:lineRule="exact"/>
        <w:rPr>
          <w:sz w:val="20"/>
          <w:szCs w:val="20"/>
          <w:color w:val="auto"/>
        </w:rPr>
      </w:pPr>
    </w:p>
    <w:p>
      <w:pPr>
        <w:ind w:right="140" w:firstLine="619"/>
        <w:spacing w:after="0" w:line="252" w:lineRule="auto"/>
        <w:rPr>
          <w:sz w:val="20"/>
          <w:szCs w:val="20"/>
          <w:color w:val="auto"/>
        </w:rPr>
      </w:pPr>
      <w:r>
        <w:rPr>
          <w:rFonts w:ascii="Times New Roman" w:cs="Times New Roman" w:eastAsia="Times New Roman" w:hAnsi="Times New Roman"/>
          <w:sz w:val="20"/>
          <w:szCs w:val="20"/>
          <w:color w:val="auto"/>
        </w:rPr>
        <w:t>Net cash used in operating activities was $99.7 million for the year ended December 31, 2024, primarily reflecting a net loss of $116.9 million, offset primarily by non-cash charges of $17.2 million. The non-cash charges primarily consisted of stock-based compensation expense of $9.8 million, non-cash lease expense of $5.0 million and depreciation expense of $3.5 million, offset by non-cash interest accretion of $1.1 million.</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8"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Net cash used in investing activities was $48.8 million for the year ended December 31, 2025, which consisted of purchases of $53.7 million of marketable securities and $0.9 million of property and equipment, partially offset by proceeds of $5.0 million from the maturity of marketable securities and $0.8 million from the sale of equipment.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20" w:right="1440" w:bottom="175" w:gutter="0" w:footer="0" w:header="0"/>
        </w:sectPr>
      </w:pPr>
    </w:p>
    <w:bookmarkStart w:id="93" w:name="page94"/>
    <w:bookmarkEnd w:id="93"/>
    <w:p>
      <w:pPr>
        <w:ind w:right="60" w:firstLine="619"/>
        <w:spacing w:after="0" w:line="258" w:lineRule="auto"/>
        <w:rPr>
          <w:sz w:val="20"/>
          <w:szCs w:val="20"/>
          <w:color w:val="auto"/>
        </w:rPr>
      </w:pPr>
      <w:r>
        <w:rPr>
          <w:rFonts w:ascii="Times New Roman" w:cs="Times New Roman" w:eastAsia="Times New Roman" w:hAnsi="Times New Roman"/>
          <w:sz w:val="20"/>
          <w:szCs w:val="20"/>
          <w:color w:val="auto"/>
        </w:rPr>
        <w:t>Net cash provided by investing activities was $96.9 million for the year ended December 31, 2024, which consisted of purchases of $9.9 million of marketable securities and $0.2 million of property and equipment offset by proceeds of $107.0 million from the maturity of marketable securities.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7"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Net cash provided by financing activities was $503.8 million for the year ended December 31, 2025, which consisted of $175.0 million of proceeds from the June 2025 Private Placement, $150.0 million of proceeds from the December 2025 Private Placement, $108.1 million of proceeds received from the November 2025 Offering, $70.1 million of proceeds from the sale of common stock under the Stifel ATM Facility, and proceeds of $2.2 million from the exercise of stock options and purchases of common stock under our ESPP. These amounts were offset by the payment of $1.3 million of issuance costs related to the private placements and underwritten offering and $0.3 million of taxes paid related to net share settlement of equity awards.</w:t>
      </w:r>
    </w:p>
    <w:p>
      <w:pPr>
        <w:spacing w:after="0" w:line="80" w:lineRule="exact"/>
        <w:rPr>
          <w:sz w:val="20"/>
          <w:szCs w:val="20"/>
          <w:color w:val="auto"/>
        </w:rPr>
      </w:pPr>
    </w:p>
    <w:p>
      <w:pPr>
        <w:ind w:right="80" w:firstLine="619"/>
        <w:spacing w:after="0" w:line="265" w:lineRule="auto"/>
        <w:rPr>
          <w:sz w:val="20"/>
          <w:szCs w:val="20"/>
          <w:color w:val="auto"/>
        </w:rPr>
      </w:pPr>
      <w:r>
        <w:rPr>
          <w:rFonts w:ascii="Times New Roman" w:cs="Times New Roman" w:eastAsia="Times New Roman" w:hAnsi="Times New Roman"/>
          <w:sz w:val="19"/>
          <w:szCs w:val="19"/>
          <w:color w:val="auto"/>
        </w:rPr>
        <w:t>Net cash provided by financing activities was $53.4 million for the year ended December 31, 2024, which consisted of proceeds of $55.6 million from the proceeds of the December 2024 Private Placement, $0.3 million from the sale of common stock under the Stifel ATM Facility and proceeds of $0.2 million from the exercise of stock options and purchases of common stock under our ESPP, offset by the payment of $2.3 million of issuance costs related to the private placement and $0.3 million of taxes paid related to net share settlement of equity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Other Commitments</w:t>
      </w:r>
    </w:p>
    <w:p>
      <w:pPr>
        <w:spacing w:after="0" w:line="124" w:lineRule="exact"/>
        <w:rPr>
          <w:sz w:val="20"/>
          <w:szCs w:val="20"/>
          <w:color w:val="auto"/>
        </w:rPr>
      </w:pPr>
    </w:p>
    <w:p>
      <w:pPr>
        <w:ind w:right="60" w:firstLine="612"/>
        <w:spacing w:after="0" w:line="252" w:lineRule="auto"/>
        <w:rPr>
          <w:sz w:val="20"/>
          <w:szCs w:val="20"/>
          <w:color w:val="auto"/>
        </w:rPr>
      </w:pPr>
      <w:r>
        <w:rPr>
          <w:rFonts w:ascii="Times New Roman" w:cs="Times New Roman" w:eastAsia="Times New Roman" w:hAnsi="Times New Roman"/>
          <w:sz w:val="20"/>
          <w:szCs w:val="20"/>
          <w:color w:val="auto"/>
        </w:rPr>
        <w:t>Contractual obligations relate to future minimum lease payments for our existing non-cancellable lease relating to corporate office space, with a term expiring in August 2031. Future minimum annual rental payments required under this operating lease agreement as of December 31, 2025 are described in more detail in Note 9 to our audited consolidated financial statements included elsewhere in this Annual Report.</w:t>
      </w:r>
    </w:p>
    <w:p>
      <w:pPr>
        <w:spacing w:after="0" w:line="193" w:lineRule="exact"/>
        <w:rPr>
          <w:sz w:val="20"/>
          <w:szCs w:val="20"/>
          <w:color w:val="auto"/>
        </w:rPr>
      </w:pPr>
    </w:p>
    <w:p>
      <w:pPr>
        <w:ind w:right="80" w:firstLine="612"/>
        <w:spacing w:after="0" w:line="253" w:lineRule="auto"/>
        <w:rPr>
          <w:sz w:val="20"/>
          <w:szCs w:val="20"/>
          <w:color w:val="auto"/>
        </w:rPr>
      </w:pPr>
      <w:r>
        <w:rPr>
          <w:rFonts w:ascii="Times New Roman" w:cs="Times New Roman" w:eastAsia="Times New Roman" w:hAnsi="Times New Roman"/>
          <w:sz w:val="20"/>
          <w:szCs w:val="20"/>
          <w:color w:val="auto"/>
        </w:rPr>
        <w:t>Other commitments include license and collaboration agreements we have entered into with certain parties. Such arrangements require ongoing payments, including payments upon the achievement of certain development, regulatory and commercial milestones, receipt of sublicense income, as well as royalties on commercial sales. Refer to Note 10 to our audited consolidated financial statements included elsewhere in this Annual Report.</w:t>
      </w:r>
    </w:p>
    <w:p>
      <w:pPr>
        <w:spacing w:after="0" w:line="191" w:lineRule="exact"/>
        <w:rPr>
          <w:sz w:val="20"/>
          <w:szCs w:val="20"/>
          <w:color w:val="auto"/>
        </w:rPr>
      </w:pPr>
    </w:p>
    <w:p>
      <w:pPr>
        <w:ind w:right="160" w:firstLine="612"/>
        <w:spacing w:after="0" w:line="246" w:lineRule="auto"/>
        <w:rPr>
          <w:sz w:val="20"/>
          <w:szCs w:val="20"/>
          <w:color w:val="auto"/>
        </w:rPr>
      </w:pPr>
      <w:r>
        <w:rPr>
          <w:rFonts w:ascii="Times New Roman" w:cs="Times New Roman" w:eastAsia="Times New Roman" w:hAnsi="Times New Roman"/>
          <w:sz w:val="20"/>
          <w:szCs w:val="20"/>
          <w:color w:val="auto"/>
        </w:rPr>
        <w:t>We also have agreements with certain vendors for various services, including services related to clinical operations and support,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 We do not include these payments in this summary as they are not fixed and estimable.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consolidated financial statements. 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20" w:right="1440" w:bottom="175" w:gutter="0" w:footer="0" w:header="0"/>
        </w:sectPr>
      </w:pPr>
    </w:p>
    <w:bookmarkStart w:id="94" w:name="page95"/>
    <w:bookmarkEnd w:id="94"/>
    <w:p>
      <w:pPr>
        <w:ind w:right="140"/>
        <w:spacing w:after="0" w:line="277" w:lineRule="auto"/>
        <w:rPr>
          <w:sz w:val="20"/>
          <w:szCs w:val="20"/>
          <w:color w:val="auto"/>
        </w:rPr>
      </w:pPr>
      <w:r>
        <w:rPr>
          <w:rFonts w:ascii="Times New Roman" w:cs="Times New Roman" w:eastAsia="Times New Roman" w:hAnsi="Times New Roman"/>
          <w:sz w:val="20"/>
          <w:szCs w:val="20"/>
          <w:color w:val="auto"/>
        </w:rPr>
        <w:t>assumptions on an ongoing basis. Our actual results may differ from these estimates under different assumptions or conditions. During the year ending December 31, 2025, there were no material changes to these assumptions.</w:t>
      </w:r>
    </w:p>
    <w:p>
      <w:pPr>
        <w:spacing w:after="0" w:line="49"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Note 2 to our audited consolidated financial statements included elsewhere in this Annual Report, we believe that the following accounting policy is the most critical in the preparation of our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120" w:lineRule="exact"/>
        <w:rPr>
          <w:sz w:val="20"/>
          <w:szCs w:val="20"/>
          <w:color w:val="auto"/>
        </w:rPr>
      </w:pPr>
    </w:p>
    <w:p>
      <w:pPr>
        <w:ind w:right="80" w:firstLine="612"/>
        <w:spacing w:after="0" w:line="259" w:lineRule="auto"/>
        <w:rPr>
          <w:sz w:val="20"/>
          <w:szCs w:val="20"/>
          <w:color w:val="auto"/>
        </w:rPr>
      </w:pPr>
      <w:r>
        <w:rPr>
          <w:rFonts w:ascii="Times New Roman" w:cs="Times New Roman" w:eastAsia="Times New Roman" w:hAnsi="Times New Roman"/>
          <w:sz w:val="19"/>
          <w:szCs w:val="19"/>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3" w:lineRule="exact"/>
        <w:rPr>
          <w:sz w:val="20"/>
          <w:szCs w:val="20"/>
          <w:color w:val="auto"/>
        </w:rPr>
      </w:pPr>
    </w:p>
    <w:p>
      <w:pPr>
        <w:ind w:right="320" w:firstLine="612"/>
        <w:spacing w:after="0" w:line="259"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potentially impact our financial position and results of operations is disclosed in Note 2 to our audited consolidated financial statements included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and Smaller Reporting Company Status</w:t>
      </w:r>
    </w:p>
    <w:p>
      <w:pPr>
        <w:spacing w:after="0" w:line="124" w:lineRule="exact"/>
        <w:rPr>
          <w:sz w:val="20"/>
          <w:szCs w:val="20"/>
          <w:color w:val="auto"/>
        </w:rPr>
      </w:pPr>
    </w:p>
    <w:p>
      <w:pPr>
        <w:ind w:right="160" w:firstLine="612"/>
        <w:spacing w:after="0" w:line="247" w:lineRule="auto"/>
        <w:rPr>
          <w:sz w:val="20"/>
          <w:szCs w:val="20"/>
          <w:color w:val="auto"/>
        </w:rPr>
      </w:pPr>
      <w:r>
        <w:rPr>
          <w:rFonts w:ascii="Times New Roman" w:cs="Times New Roman" w:eastAsia="Times New Roman" w:hAnsi="Times New Roman"/>
          <w:sz w:val="20"/>
          <w:szCs w:val="20"/>
          <w:color w:val="auto"/>
        </w:rPr>
        <w:t>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80" w:lineRule="exact"/>
        <w:rPr>
          <w:sz w:val="20"/>
          <w:szCs w:val="20"/>
          <w:color w:val="auto"/>
        </w:rPr>
      </w:pPr>
    </w:p>
    <w:p>
      <w:pPr>
        <w:ind w:right="320" w:firstLine="612"/>
        <w:spacing w:after="0" w:line="278" w:lineRule="auto"/>
        <w:rPr>
          <w:sz w:val="20"/>
          <w:szCs w:val="20"/>
          <w:color w:val="auto"/>
        </w:rPr>
      </w:pPr>
      <w:r>
        <w:rPr>
          <w:rFonts w:ascii="Times New Roman" w:cs="Times New Roman" w:eastAsia="Times New Roman" w:hAnsi="Times New Roman"/>
          <w:sz w:val="20"/>
          <w:szCs w:val="20"/>
          <w:color w:val="auto"/>
        </w:rPr>
        <w:t>In addition, as an emerging growth company, we may take advantage of specified reduced disclosure and other requirements that are otherwise applicable generally to public companies. These provisions include:</w:t>
      </w:r>
    </w:p>
    <w:p>
      <w:pPr>
        <w:spacing w:after="0" w:line="61" w:lineRule="exact"/>
        <w:rPr>
          <w:sz w:val="20"/>
          <w:szCs w:val="20"/>
          <w:color w:val="auto"/>
        </w:rPr>
      </w:pPr>
    </w:p>
    <w:p>
      <w:pPr>
        <w:ind w:left="860" w:right="100" w:hanging="249"/>
        <w:spacing w:after="0" w:line="247" w:lineRule="auto"/>
        <w:tabs>
          <w:tab w:leader="none" w:pos="8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w:t>
      </w:r>
    </w:p>
    <w:p>
      <w:pPr>
        <w:spacing w:after="0" w:line="91" w:lineRule="exact"/>
        <w:rPr>
          <w:rFonts w:ascii="Symbol" w:cs="Symbol" w:eastAsia="Symbol" w:hAnsi="Symbol"/>
          <w:sz w:val="20"/>
          <w:szCs w:val="20"/>
          <w:color w:val="auto"/>
        </w:rPr>
      </w:pPr>
    </w:p>
    <w:p>
      <w:pPr>
        <w:ind w:left="860" w:right="220" w:hanging="249"/>
        <w:spacing w:after="0" w:line="262" w:lineRule="auto"/>
        <w:tabs>
          <w:tab w:leader="none" w:pos="8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an exception from compliance with the auditor attestation requirements of Section 404 of the Sarbanes-Oxley Act of 2002, as amended;</w:t>
      </w:r>
    </w:p>
    <w:p>
      <w:pPr>
        <w:spacing w:after="0" w:line="76" w:lineRule="exact"/>
        <w:rPr>
          <w:rFonts w:ascii="Symbol" w:cs="Symbol" w:eastAsia="Symbol" w:hAnsi="Symbol"/>
          <w:sz w:val="20"/>
          <w:szCs w:val="20"/>
          <w:color w:val="auto"/>
        </w:rPr>
      </w:pPr>
    </w:p>
    <w:p>
      <w:pPr>
        <w:ind w:left="860" w:right="700" w:hanging="249"/>
        <w:spacing w:after="0" w:line="262" w:lineRule="auto"/>
        <w:tabs>
          <w:tab w:leader="none" w:pos="8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reduced disclosure about our executive compensation arrangements in our periodic reports, proxy statements and registration statements;</w:t>
      </w:r>
    </w:p>
    <w:p>
      <w:pPr>
        <w:spacing w:after="0" w:line="75" w:lineRule="exact"/>
        <w:rPr>
          <w:rFonts w:ascii="Symbol" w:cs="Symbol" w:eastAsia="Symbol" w:hAnsi="Symbol"/>
          <w:sz w:val="20"/>
          <w:szCs w:val="20"/>
          <w:color w:val="auto"/>
        </w:rPr>
      </w:pPr>
    </w:p>
    <w:p>
      <w:pPr>
        <w:ind w:left="860" w:right="200" w:hanging="249"/>
        <w:spacing w:after="0" w:line="262" w:lineRule="auto"/>
        <w:tabs>
          <w:tab w:leader="none" w:pos="8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exemptions from the requirements of holding non-binding advisory votes on executive compensation or golden parachute arrangements; and</w:t>
      </w:r>
    </w:p>
    <w:p>
      <w:pPr>
        <w:spacing w:after="0" w:line="75" w:lineRule="exact"/>
        <w:rPr>
          <w:rFonts w:ascii="Symbol" w:cs="Symbol" w:eastAsia="Symbol" w:hAnsi="Symbol"/>
          <w:sz w:val="20"/>
          <w:szCs w:val="20"/>
          <w:color w:val="auto"/>
        </w:rPr>
      </w:pPr>
    </w:p>
    <w:p>
      <w:pPr>
        <w:ind w:left="860" w:right="500" w:hanging="249"/>
        <w:spacing w:after="0" w:line="251" w:lineRule="auto"/>
        <w:tabs>
          <w:tab w:leader="none" w:pos="860" w:val="left"/>
        </w:tabs>
        <w:numPr>
          <w:ilvl w:val="0"/>
          <w:numId w:val="53"/>
        </w:numPr>
        <w:rPr>
          <w:rFonts w:ascii="Symbol" w:cs="Symbol" w:eastAsia="Symbol" w:hAnsi="Symbol"/>
          <w:sz w:val="20"/>
          <w:szCs w:val="20"/>
          <w:color w:val="auto"/>
        </w:rPr>
      </w:pPr>
      <w:r>
        <w:rPr>
          <w:rFonts w:ascii="Times New Roman" w:cs="Times New Roman" w:eastAsia="Times New Roman" w:hAnsi="Times New Roman"/>
          <w:sz w:val="20"/>
          <w:szCs w:val="20"/>
          <w:color w:val="auto"/>
        </w:rPr>
        <w:t>an exemption from compliance with the requirements of the Public Company Accounting Oversight Board regarding the communication of critical audit matters in the auditor’s report on consolidated financial statements.</w:t>
      </w:r>
    </w:p>
    <w:p>
      <w:pPr>
        <w:spacing w:after="0" w:line="73" w:lineRule="exact"/>
        <w:rPr>
          <w:sz w:val="20"/>
          <w:szCs w:val="20"/>
          <w:color w:val="auto"/>
        </w:rPr>
      </w:pPr>
    </w:p>
    <w:p>
      <w:pPr>
        <w:ind w:right="80" w:firstLine="612"/>
        <w:spacing w:after="0" w:line="263" w:lineRule="auto"/>
        <w:rPr>
          <w:sz w:val="20"/>
          <w:szCs w:val="20"/>
          <w:color w:val="auto"/>
        </w:rPr>
      </w:pPr>
      <w:r>
        <w:rPr>
          <w:rFonts w:ascii="Times New Roman" w:cs="Times New Roman" w:eastAsia="Times New Roman" w:hAnsi="Times New Roman"/>
          <w:sz w:val="19"/>
          <w:szCs w:val="19"/>
          <w:color w:val="auto"/>
        </w:rPr>
        <w:t>We may take advantage of these provisions until the last day of the fiscal year ending after the fifth anniversary of our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20" w:right="1440" w:bottom="175"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color w:val="auto"/>
        </w:rPr>
        <w:t>30th and we have been a public company for at least 12 months and have filed one annual report on Form 10-K; or</w:t>
      </w:r>
    </w:p>
    <w:p>
      <w:pPr>
        <w:spacing w:after="0" w:line="27" w:lineRule="exact"/>
        <w:rPr>
          <w:sz w:val="20"/>
          <w:szCs w:val="20"/>
          <w:color w:val="auto"/>
        </w:rPr>
      </w:pPr>
    </w:p>
    <w:p>
      <w:pPr>
        <w:ind w:right="360"/>
        <w:spacing w:after="0" w:line="242" w:lineRule="auto"/>
        <w:tabs>
          <w:tab w:leader="none" w:pos="33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we have issued more than $1.0 billion of non-convertible debt over the prior three-year period. We may choose to take advantage of some but not all of these reduced reporting burdens. We have taken advantage of certain reduced reporting requirements in this this Annual Report. Accordingly, the information contained herein may be different than you might obtain from other public companies in which you hold equity interests.</w:t>
      </w:r>
    </w:p>
    <w:p>
      <w:pPr>
        <w:spacing w:after="0" w:line="83" w:lineRule="exact"/>
        <w:rPr>
          <w:sz w:val="20"/>
          <w:szCs w:val="20"/>
          <w:color w:val="auto"/>
        </w:rPr>
      </w:pPr>
    </w:p>
    <w:p>
      <w:pPr>
        <w:ind w:right="100" w:firstLine="612"/>
        <w:spacing w:after="0" w:line="247" w:lineRule="auto"/>
        <w:rPr>
          <w:sz w:val="20"/>
          <w:szCs w:val="20"/>
          <w:color w:val="auto"/>
        </w:rPr>
      </w:pPr>
      <w:r>
        <w:rPr>
          <w:rFonts w:ascii="Times New Roman" w:cs="Times New Roman" w:eastAsia="Times New Roman" w:hAnsi="Times New Roman"/>
          <w:sz w:val="20"/>
          <w:szCs w:val="20"/>
          <w:color w:val="auto"/>
        </w:rPr>
        <w:t>We are also a “smaller reporting company.” If we are a smaller reporting company at the time that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20" w:right="1440" w:bottom="175"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ind w:right="140" w:firstLine="490"/>
        <w:spacing w:after="0" w:line="278" w:lineRule="auto"/>
        <w:rPr>
          <w:sz w:val="20"/>
          <w:szCs w:val="20"/>
          <w:color w:val="auto"/>
        </w:rPr>
      </w:pPr>
      <w:r>
        <w:rPr>
          <w:rFonts w:ascii="Times New Roman" w:cs="Times New Roman" w:eastAsia="Times New Roman" w:hAnsi="Times New Roman"/>
          <w:sz w:val="20"/>
          <w:szCs w:val="20"/>
          <w:color w:val="auto"/>
        </w:rPr>
        <w:t>We are a smaller reporting company, as defined in Rule 12b -2 under the Securities Exchange Act of 1934, as amended, for this reporting period and are not required to provide the information required under this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3"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32"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evaluated the effectiveness of our disclosure controls and procedures as of December 31, 2025. The term “disclosure controls and procedures,” as defined in Rules 13a-15(e) and 15d -15(e)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4" w:lineRule="exact"/>
        <w:rPr>
          <w:sz w:val="20"/>
          <w:szCs w:val="20"/>
          <w:color w:val="auto"/>
        </w:rPr>
      </w:pPr>
    </w:p>
    <w:p>
      <w:pPr>
        <w:ind w:right="100" w:firstLine="520"/>
        <w:spacing w:after="0" w:line="247"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 13a- 15(f) under the Exchange Act. Our management conducted an assessment of the effectiveness of our internal control over financial reporting based on the criteria set forth in “Internal Control-Integrated Framework (2013 framework)” issued by the Committee of Sponsoring Organizations of the Treadway Commission. Based on this assessment, management concluded that, as of December 31, 2025 our internal control over financial reporting was effective.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Attestation Report of the Registered Public Accounting Firm</w:t>
      </w:r>
    </w:p>
    <w:p>
      <w:pPr>
        <w:spacing w:after="0" w:line="123"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4"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16" w:right="1440" w:bottom="175"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as defined in Rule 16a-1(f) under the Exchange Act, adopted or terminated a “Rule 10b5-1 trading arrangement” or a “non-Rule 10b5-1 trading arrangement,” each as defined in Regulation S-K Item 408.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16" w:right="1440" w:bottom="175" w:gutter="0" w:footer="0" w:header="0"/>
        </w:sectPr>
      </w:pPr>
    </w:p>
    <w:bookmarkStart w:id="98" w:name="page99"/>
    <w:bookmarkEnd w:id="98"/>
    <w:p>
      <w:pPr>
        <w:spacing w:after="0" w:line="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3" w:lineRule="exact"/>
        <w:rPr>
          <w:sz w:val="20"/>
          <w:szCs w:val="20"/>
          <w:color w:val="auto"/>
        </w:rPr>
      </w:pPr>
    </w:p>
    <w:p>
      <w:pPr>
        <w:jc w:val="both"/>
        <w:ind w:right="14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10 will be set forth under the captions “Executive Officers”, “Proposal No. 1 – Election of Directors,” “Corporate Governance,” and "Delinquent Section 16(a) Reports", if applicable, in our Definitive Proxy Statement with respect to our 2026 Annual Meeting of Stockholders to be filed with the SEC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11 will be set forth under the captions “Executive Compensation” and “Director Compensation” in our Definitive Proxy Statement with respect to our 2026 Annual Meeting of Stockholders to be filed with the SEC and is incorporated herein by reference.</w:t>
      </w:r>
    </w:p>
    <w:p>
      <w:pPr>
        <w:spacing w:after="0" w:line="18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5"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12 will be set forth under the captions “Security Ownership of Certain Beneficial Owners and Management” and “Equity Compensation Plan Information at December 31, 2025” in our Definitive Proxy Statement with respect to our 2026 Annual Meeting of Stockholders to be filed with the SEC and is incorporated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4"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13 will be set forth under the captions “Certain Relationships and Related Party Transactions” and “Corporate Governance” in our Definitive Proxy Statement with respect to our 2026 Annual Meeting of Stockholders to be filed with the SEC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3" w:lineRule="exact"/>
        <w:rPr>
          <w:sz w:val="20"/>
          <w:szCs w:val="20"/>
          <w:color w:val="auto"/>
        </w:rPr>
      </w:pPr>
    </w:p>
    <w:p>
      <w:pPr>
        <w:jc w:val="both"/>
        <w:ind w:right="160" w:firstLine="49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14 will be set forth under the caption “Independent Registered Public Accountants’ Fees” in our Definitive Proxy Statement with respect to our 2026 Annual Meeting of Stockholders to be filed with the SEC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40" w:right="1440" w:bottom="175" w:gutter="0" w:footer="0" w:header="0"/>
        </w:sectPr>
      </w:pPr>
    </w:p>
    <w:bookmarkStart w:id="99" w:name="page100"/>
    <w:bookmarkEnd w:id="99"/>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62" w:lineRule="exact"/>
        <w:rPr>
          <w:sz w:val="20"/>
          <w:szCs w:val="20"/>
          <w:color w:val="auto"/>
        </w:rPr>
      </w:pPr>
    </w:p>
    <w:p>
      <w:pPr>
        <w:ind w:left="360" w:right="400" w:hanging="360"/>
        <w:spacing w:after="0" w:line="278" w:lineRule="auto"/>
        <w:tabs>
          <w:tab w:leader="none" w:pos="3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list of the financial statements included herein, see Index to the Consolidated Financial Statements on page F-1 of this Annual Report on Form 10-K, incorporated into this Item by reference.</w:t>
      </w:r>
    </w:p>
    <w:p>
      <w:pPr>
        <w:spacing w:after="0" w:line="46" w:lineRule="exact"/>
        <w:rPr>
          <w:rFonts w:ascii="Times New Roman" w:cs="Times New Roman" w:eastAsia="Times New Roman" w:hAnsi="Times New Roman"/>
          <w:sz w:val="20"/>
          <w:szCs w:val="20"/>
          <w:color w:val="auto"/>
        </w:rPr>
      </w:pPr>
    </w:p>
    <w:p>
      <w:pPr>
        <w:ind w:left="360" w:right="80" w:hanging="360"/>
        <w:spacing w:after="0" w:line="278" w:lineRule="auto"/>
        <w:tabs>
          <w:tab w:leader="none" w:pos="3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have been omitted since they are either not required or not applicable or the information is otherwise included herein.</w:t>
      </w:r>
    </w:p>
    <w:p>
      <w:pPr>
        <w:spacing w:after="0" w:line="48"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7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03"/>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5"/>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40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3. 1</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Amended and Restated Certificate of</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3. 1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0000FF"/>
              <w:bottom w:val="single" w:sz="8" w:color="0000FF"/>
            </w:tcBorders>
            <w:gridSpan w:val="10"/>
          </w:tcPr>
          <w:p>
            <w:pPr>
              <w:spacing w:after="0" w:line="187" w:lineRule="exact"/>
              <w:rPr>
                <w:sz w:val="20"/>
                <w:szCs w:val="20"/>
                <w:color w:val="auto"/>
              </w:rPr>
            </w:pPr>
            <w:r>
              <w:rPr>
                <w:rFonts w:ascii="Times New Roman" w:cs="Times New Roman" w:eastAsia="Times New Roman" w:hAnsi="Times New Roman"/>
                <w:sz w:val="18"/>
                <w:szCs w:val="18"/>
                <w:color w:val="0000FF"/>
                <w:w w:val="99"/>
              </w:rPr>
              <w:t>Incorporation of the Registrant</w:t>
            </w:r>
          </w:p>
        </w:tc>
        <w:tc>
          <w:tcPr>
            <w:tcW w:w="440" w:type="dxa"/>
            <w:vAlign w:val="bottom"/>
            <w:tcBorders>
              <w:top w:val="single" w:sz="8" w:color="0000FF"/>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Certificate of Amendment of</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23,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28"/>
          </w:tcPr>
          <w:p>
            <w:pPr>
              <w:spacing w:after="0" w:line="188" w:lineRule="exact"/>
              <w:rPr>
                <w:sz w:val="20"/>
                <w:szCs w:val="20"/>
                <w:color w:val="auto"/>
              </w:rPr>
            </w:pPr>
            <w:r>
              <w:rPr>
                <w:rFonts w:ascii="Times New Roman" w:cs="Times New Roman" w:eastAsia="Times New Roman" w:hAnsi="Times New Roman"/>
                <w:sz w:val="18"/>
                <w:szCs w:val="18"/>
                <w:color w:val="0000FF"/>
              </w:rPr>
              <w:t>Amended and Restated Certificate of</w:t>
            </w: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top w:val="single" w:sz="8" w:color="0000FF"/>
              <w:bottom w:val="single" w:sz="8" w:color="0000FF"/>
            </w:tcBorders>
            <w:gridSpan w:val="11"/>
          </w:tcPr>
          <w:p>
            <w:pPr>
              <w:spacing w:after="0" w:line="187" w:lineRule="exact"/>
              <w:rPr>
                <w:sz w:val="20"/>
                <w:szCs w:val="20"/>
                <w:color w:val="auto"/>
              </w:rPr>
            </w:pPr>
            <w:r>
              <w:rPr>
                <w:rFonts w:ascii="Times New Roman" w:cs="Times New Roman" w:eastAsia="Times New Roman" w:hAnsi="Times New Roman"/>
                <w:sz w:val="18"/>
                <w:szCs w:val="18"/>
                <w:color w:val="0000FF"/>
                <w:w w:val="99"/>
              </w:rPr>
              <w:t>Incorporation of the Registrant.</w:t>
            </w:r>
          </w:p>
        </w:tc>
        <w:tc>
          <w:tcPr>
            <w:tcW w:w="400" w:type="dxa"/>
            <w:vAlign w:val="bottom"/>
            <w:tcBorders>
              <w:top w:val="single" w:sz="8" w:color="0000FF"/>
            </w:tcBorders>
            <w:gridSpan w:val="10"/>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Certificate of Amendment of</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17,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28"/>
          </w:tcPr>
          <w:p>
            <w:pPr>
              <w:spacing w:after="0" w:line="187" w:lineRule="exact"/>
              <w:rPr>
                <w:sz w:val="20"/>
                <w:szCs w:val="20"/>
                <w:color w:val="auto"/>
              </w:rPr>
            </w:pPr>
            <w:r>
              <w:rPr>
                <w:rFonts w:ascii="Times New Roman" w:cs="Times New Roman" w:eastAsia="Times New Roman" w:hAnsi="Times New Roman"/>
                <w:sz w:val="18"/>
                <w:szCs w:val="18"/>
                <w:color w:val="0000FF"/>
              </w:rPr>
              <w:t>Amended and Restated Certificate of</w:t>
            </w: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top w:val="single" w:sz="8" w:color="0000FF"/>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color w:val="0000FF"/>
                <w:w w:val="99"/>
              </w:rPr>
              <w:t>Incorporation of the Registrant.</w:t>
            </w:r>
          </w:p>
        </w:tc>
        <w:tc>
          <w:tcPr>
            <w:tcW w:w="400" w:type="dxa"/>
            <w:vAlign w:val="bottom"/>
            <w:tcBorders>
              <w:top w:val="single" w:sz="8" w:color="0000FF"/>
            </w:tcBorders>
            <w:gridSpan w:val="10"/>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Amended and Restated Bylaws of the</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top w:val="single" w:sz="8" w:color="0000FF"/>
            </w:tcBorders>
            <w:gridSpan w:val="24"/>
          </w:tcPr>
          <w:p>
            <w:pPr>
              <w:spacing w:after="0" w:line="187" w:lineRule="exact"/>
              <w:rPr>
                <w:sz w:val="20"/>
                <w:szCs w:val="20"/>
                <w:color w:val="auto"/>
              </w:rPr>
            </w:pPr>
            <w:r>
              <w:rPr>
                <w:rFonts w:ascii="Times New Roman" w:cs="Times New Roman" w:eastAsia="Times New Roman" w:hAnsi="Times New Roman"/>
                <w:sz w:val="18"/>
                <w:szCs w:val="18"/>
                <w:color w:val="0000FF"/>
              </w:rPr>
              <w:t>Registrant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of Common Stock Certificate of</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top w:val="single" w:sz="8" w:color="0000FF"/>
            </w:tcBorders>
            <w:gridSpan w:val="26"/>
          </w:tcPr>
          <w:p>
            <w:pPr>
              <w:spacing w:after="0" w:line="188" w:lineRule="exact"/>
              <w:rPr>
                <w:sz w:val="20"/>
                <w:szCs w:val="20"/>
                <w:color w:val="auto"/>
              </w:rPr>
            </w:pPr>
            <w:r>
              <w:rPr>
                <w:rFonts w:ascii="Times New Roman" w:cs="Times New Roman" w:eastAsia="Times New Roman" w:hAnsi="Times New Roman"/>
                <w:sz w:val="18"/>
                <w:szCs w:val="18"/>
                <w:color w:val="0000FF"/>
              </w:rPr>
              <w:t>the Registrant</w:t>
            </w: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Amended and Restated Investors’</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top w:val="single" w:sz="8" w:color="0000FF"/>
            </w:tcBorders>
            <w:gridSpan w:val="15"/>
          </w:tcPr>
          <w:p>
            <w:pPr>
              <w:spacing w:after="0" w:line="187" w:lineRule="exact"/>
              <w:rPr>
                <w:sz w:val="20"/>
                <w:szCs w:val="20"/>
                <w:color w:val="auto"/>
              </w:rPr>
            </w:pPr>
            <w:r>
              <w:rPr>
                <w:rFonts w:ascii="Times New Roman" w:cs="Times New Roman" w:eastAsia="Times New Roman" w:hAnsi="Times New Roman"/>
                <w:sz w:val="18"/>
                <w:szCs w:val="18"/>
                <w:color w:val="0000FF"/>
                <w:w w:val="99"/>
              </w:rPr>
              <w:t>Rights Agreement, by and among</w:t>
            </w:r>
          </w:p>
        </w:tc>
        <w:tc>
          <w:tcPr>
            <w:tcW w:w="20" w:type="dxa"/>
            <w:vAlign w:val="bottom"/>
          </w:tcPr>
          <w:p>
            <w:pPr>
              <w:spacing w:after="0"/>
              <w:rPr>
                <w:sz w:val="16"/>
                <w:szCs w:val="16"/>
                <w:color w:val="auto"/>
              </w:rPr>
            </w:pPr>
          </w:p>
        </w:tc>
        <w:tc>
          <w:tcPr>
            <w:tcW w:w="440" w:type="dxa"/>
            <w:vAlign w:val="bottom"/>
            <w:gridSpan w:val="12"/>
          </w:tcPr>
          <w:p>
            <w:pPr>
              <w:ind w:left="20"/>
              <w:spacing w:after="0" w:line="187" w:lineRule="exact"/>
              <w:rPr>
                <w:sz w:val="20"/>
                <w:szCs w:val="20"/>
                <w:color w:val="auto"/>
              </w:rPr>
            </w:pPr>
            <w:r>
              <w:rPr>
                <w:rFonts w:ascii="Times New Roman" w:cs="Times New Roman" w:eastAsia="Times New Roman" w:hAnsi="Times New Roman"/>
                <w:sz w:val="18"/>
                <w:szCs w:val="18"/>
                <w:color w:val="0000FF"/>
              </w:rPr>
              <w:t>the</w:t>
            </w: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top w:val="single" w:sz="8" w:color="0000FF"/>
            </w:tcBorders>
            <w:gridSpan w:val="22"/>
          </w:tcPr>
          <w:p>
            <w:pPr>
              <w:spacing w:after="0" w:line="188" w:lineRule="exact"/>
              <w:rPr>
                <w:sz w:val="20"/>
                <w:szCs w:val="20"/>
                <w:color w:val="auto"/>
              </w:rPr>
            </w:pPr>
            <w:r>
              <w:rPr>
                <w:rFonts w:ascii="Times New Roman" w:cs="Times New Roman" w:eastAsia="Times New Roman" w:hAnsi="Times New Roman"/>
                <w:sz w:val="18"/>
                <w:szCs w:val="18"/>
                <w:color w:val="0000FF"/>
              </w:rPr>
              <w:t>Registrant and certain of its</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top w:val="single" w:sz="8" w:color="0000FF"/>
              <w:bottom w:val="single" w:sz="8" w:color="0000FF"/>
            </w:tcBorders>
            <w:gridSpan w:val="7"/>
          </w:tcPr>
          <w:p>
            <w:pPr>
              <w:spacing w:after="0" w:line="187" w:lineRule="exact"/>
              <w:rPr>
                <w:sz w:val="20"/>
                <w:szCs w:val="20"/>
                <w:color w:val="auto"/>
              </w:rPr>
            </w:pPr>
            <w:r>
              <w:rPr>
                <w:rFonts w:ascii="Times New Roman" w:cs="Times New Roman" w:eastAsia="Times New Roman" w:hAnsi="Times New Roman"/>
                <w:sz w:val="18"/>
                <w:szCs w:val="18"/>
                <w:color w:val="0000FF"/>
                <w:w w:val="97"/>
              </w:rPr>
              <w:t>stockholders, dated June 30,</w:t>
            </w:r>
          </w:p>
        </w:tc>
        <w:tc>
          <w:tcPr>
            <w:tcW w:w="460" w:type="dxa"/>
            <w:vAlign w:val="bottom"/>
            <w:tcBorders>
              <w:bottom w:val="single" w:sz="8" w:color="0000FF"/>
            </w:tcBorders>
            <w:gridSpan w:val="9"/>
          </w:tcPr>
          <w:p>
            <w:pPr>
              <w:jc w:val="right"/>
              <w:ind w:right="20"/>
              <w:spacing w:after="0" w:line="187" w:lineRule="exact"/>
              <w:rPr>
                <w:sz w:val="20"/>
                <w:szCs w:val="20"/>
                <w:color w:val="auto"/>
              </w:rPr>
            </w:pPr>
            <w:r>
              <w:rPr>
                <w:rFonts w:ascii="Times New Roman" w:cs="Times New Roman" w:eastAsia="Times New Roman" w:hAnsi="Times New Roman"/>
                <w:sz w:val="18"/>
                <w:szCs w:val="18"/>
                <w:color w:val="0000FF"/>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Description of the Registrant’s</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top w:val="single" w:sz="8" w:color="0000FF"/>
            </w:tcBorders>
            <w:gridSpan w:val="9"/>
          </w:tcPr>
          <w:p>
            <w:pPr>
              <w:spacing w:after="0" w:line="188" w:lineRule="exact"/>
              <w:rPr>
                <w:sz w:val="20"/>
                <w:szCs w:val="20"/>
                <w:color w:val="auto"/>
              </w:rPr>
            </w:pPr>
            <w:r>
              <w:rPr>
                <w:rFonts w:ascii="Times New Roman" w:cs="Times New Roman" w:eastAsia="Times New Roman" w:hAnsi="Times New Roman"/>
                <w:sz w:val="18"/>
                <w:szCs w:val="18"/>
                <w:color w:val="0000FF"/>
                <w:w w:val="99"/>
              </w:rPr>
              <w:t>Securities Registered Pursuant</w:t>
            </w:r>
          </w:p>
        </w:tc>
        <w:tc>
          <w:tcPr>
            <w:tcW w:w="680" w:type="dxa"/>
            <w:vAlign w:val="bottom"/>
            <w:gridSpan w:val="19"/>
          </w:tcPr>
          <w:p>
            <w:pPr>
              <w:ind w:left="20"/>
              <w:spacing w:after="0" w:line="188" w:lineRule="exact"/>
              <w:rPr>
                <w:sz w:val="20"/>
                <w:szCs w:val="20"/>
                <w:color w:val="auto"/>
              </w:rPr>
            </w:pPr>
            <w:r>
              <w:rPr>
                <w:rFonts w:ascii="Times New Roman" w:cs="Times New Roman" w:eastAsia="Times New Roman" w:hAnsi="Times New Roman"/>
                <w:sz w:val="18"/>
                <w:szCs w:val="18"/>
                <w:color w:val="0000FF"/>
              </w:rPr>
              <w:t>to</w:t>
            </w: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28"/>
          </w:tcPr>
          <w:p>
            <w:pPr>
              <w:spacing w:after="0" w:line="187" w:lineRule="exact"/>
              <w:rPr>
                <w:sz w:val="20"/>
                <w:szCs w:val="20"/>
                <w:color w:val="auto"/>
              </w:rPr>
            </w:pPr>
            <w:r>
              <w:rPr>
                <w:rFonts w:ascii="Times New Roman" w:cs="Times New Roman" w:eastAsia="Times New Roman" w:hAnsi="Times New Roman"/>
                <w:sz w:val="18"/>
                <w:szCs w:val="18"/>
                <w:color w:val="0000FF"/>
              </w:rPr>
              <w:t>Section 12 of the Securities Exchange</w:t>
            </w: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top w:val="single" w:sz="8" w:color="0000FF"/>
            </w:tcBorders>
            <w:gridSpan w:val="25"/>
          </w:tcPr>
          <w:p>
            <w:pPr>
              <w:spacing w:after="0" w:line="188" w:lineRule="exact"/>
              <w:rPr>
                <w:sz w:val="20"/>
                <w:szCs w:val="20"/>
                <w:color w:val="auto"/>
              </w:rPr>
            </w:pPr>
            <w:r>
              <w:rPr>
                <w:rFonts w:ascii="Times New Roman" w:cs="Times New Roman" w:eastAsia="Times New Roman" w:hAnsi="Times New Roman"/>
                <w:sz w:val="18"/>
                <w:szCs w:val="18"/>
                <w:color w:val="0000FF"/>
              </w:rPr>
              <w:t>Act of 1934</w:t>
            </w: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4. 4</w:t>
            </w:r>
          </w:p>
        </w:tc>
        <w:tc>
          <w:tcPr>
            <w:tcW w:w="100" w:type="dxa"/>
            <w:vAlign w:val="bottom"/>
          </w:tcPr>
          <w:p>
            <w:pPr>
              <w:spacing w:after="0"/>
              <w:rPr>
                <w:sz w:val="24"/>
                <w:szCs w:val="24"/>
                <w:color w:val="auto"/>
              </w:rPr>
            </w:pPr>
          </w:p>
        </w:tc>
        <w:tc>
          <w:tcPr>
            <w:tcW w:w="2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Form of Common Stock Warrant</w:t>
            </w:r>
          </w:p>
        </w:tc>
        <w:tc>
          <w:tcPr>
            <w:tcW w:w="500" w:type="dxa"/>
            <w:vAlign w:val="bottom"/>
            <w:gridSpan w:val="14"/>
          </w:tcPr>
          <w:p>
            <w:pPr>
              <w:spacing w:after="0"/>
              <w:rPr>
                <w:sz w:val="24"/>
                <w:szCs w:val="24"/>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4. 1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27,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4. 5</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of Pre-Funded Warrant to</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top w:val="single" w:sz="8" w:color="0000FF"/>
            </w:tcBorders>
            <w:gridSpan w:val="12"/>
          </w:tcPr>
          <w:p>
            <w:pPr>
              <w:spacing w:after="0" w:line="187" w:lineRule="exact"/>
              <w:rPr>
                <w:sz w:val="20"/>
                <w:szCs w:val="20"/>
                <w:color w:val="auto"/>
              </w:rPr>
            </w:pPr>
            <w:r>
              <w:rPr>
                <w:rFonts w:ascii="Times New Roman" w:cs="Times New Roman" w:eastAsia="Times New Roman" w:hAnsi="Times New Roman"/>
                <w:sz w:val="18"/>
                <w:szCs w:val="18"/>
                <w:color w:val="0000FF"/>
              </w:rPr>
              <w:t>Purchase Common Stock</w:t>
            </w:r>
          </w:p>
        </w:tc>
        <w:tc>
          <w:tcPr>
            <w:tcW w:w="16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12, 2025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10. 1†</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License Agreement, dated as of June</w:t>
            </w:r>
          </w:p>
        </w:tc>
        <w:tc>
          <w:tcPr>
            <w:tcW w:w="7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top w:val="single" w:sz="8" w:color="0000FF"/>
            </w:tcBorders>
            <w:gridSpan w:val="20"/>
          </w:tcPr>
          <w:p>
            <w:pPr>
              <w:spacing w:after="0" w:line="188" w:lineRule="exact"/>
              <w:rPr>
                <w:sz w:val="20"/>
                <w:szCs w:val="20"/>
                <w:color w:val="auto"/>
              </w:rPr>
            </w:pPr>
            <w:r>
              <w:rPr>
                <w:rFonts w:ascii="Times New Roman" w:cs="Times New Roman" w:eastAsia="Times New Roman" w:hAnsi="Times New Roman"/>
                <w:sz w:val="18"/>
                <w:szCs w:val="18"/>
                <w:color w:val="0000FF"/>
              </w:rPr>
              <w:t>25, 2025, by and between Remegen</w:t>
            </w:r>
          </w:p>
        </w:tc>
        <w:tc>
          <w:tcPr>
            <w:tcW w:w="6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0000FF"/>
              <w:bottom w:val="single" w:sz="8" w:color="0000FF"/>
            </w:tcBorders>
            <w:gridSpan w:val="6"/>
          </w:tcPr>
          <w:p>
            <w:pPr>
              <w:spacing w:after="0" w:line="187" w:lineRule="exact"/>
              <w:rPr>
                <w:sz w:val="20"/>
                <w:szCs w:val="20"/>
                <w:color w:val="auto"/>
              </w:rPr>
            </w:pPr>
            <w:r>
              <w:rPr>
                <w:rFonts w:ascii="Times New Roman" w:cs="Times New Roman" w:eastAsia="Times New Roman" w:hAnsi="Times New Roman"/>
                <w:sz w:val="18"/>
                <w:szCs w:val="18"/>
                <w:color w:val="0000FF"/>
                <w:w w:val="99"/>
              </w:rPr>
              <w:t>Co, Ltd. and the Registrant</w:t>
            </w:r>
          </w:p>
        </w:tc>
        <w:tc>
          <w:tcPr>
            <w:tcW w:w="620" w:type="dxa"/>
            <w:vAlign w:val="bottom"/>
            <w:tcBorders>
              <w:top w:val="single" w:sz="8" w:color="0000FF"/>
            </w:tcBorders>
            <w:gridSpan w:val="1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9"/>
              </w:rPr>
              <w:t>10. 2^</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Lease Agreement, dated August 5,</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10. 10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17"/>
          </w:tcPr>
          <w:p>
            <w:pPr>
              <w:spacing w:after="0" w:line="188" w:lineRule="exact"/>
              <w:rPr>
                <w:sz w:val="20"/>
                <w:szCs w:val="20"/>
                <w:color w:val="auto"/>
              </w:rPr>
            </w:pPr>
            <w:r>
              <w:rPr>
                <w:rFonts w:ascii="Times New Roman" w:cs="Times New Roman" w:eastAsia="Times New Roman" w:hAnsi="Times New Roman"/>
                <w:sz w:val="18"/>
                <w:szCs w:val="18"/>
                <w:color w:val="0000FF"/>
                <w:w w:val="95"/>
              </w:rPr>
              <w:t>2025, by and between the Company</w:t>
            </w:r>
          </w:p>
        </w:tc>
        <w:tc>
          <w:tcPr>
            <w:tcW w:w="100" w:type="dxa"/>
            <w:vAlign w:val="bottom"/>
            <w:tcBorders>
              <w:bottom w:val="single" w:sz="8" w:color="0000FF"/>
            </w:tcBorders>
            <w:gridSpan w:val="2"/>
          </w:tcPr>
          <w:p>
            <w:pPr>
              <w:spacing w:after="0"/>
              <w:rPr>
                <w:sz w:val="16"/>
                <w:szCs w:val="16"/>
                <w:color w:val="auto"/>
              </w:rPr>
            </w:pPr>
          </w:p>
        </w:tc>
        <w:tc>
          <w:tcPr>
            <w:tcW w:w="12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19"/>
          </w:tcPr>
          <w:p>
            <w:pPr>
              <w:spacing w:after="0" w:line="187" w:lineRule="exact"/>
              <w:rPr>
                <w:sz w:val="20"/>
                <w:szCs w:val="20"/>
                <w:color w:val="auto"/>
              </w:rPr>
            </w:pPr>
            <w:r>
              <w:rPr>
                <w:rFonts w:ascii="Times New Roman" w:cs="Times New Roman" w:eastAsia="Times New Roman" w:hAnsi="Times New Roman"/>
                <w:sz w:val="18"/>
                <w:szCs w:val="18"/>
                <w:color w:val="0000FF"/>
              </w:rPr>
              <w:t>and 500 Boylston &amp; 222 Berkeley</w:t>
            </w:r>
          </w:p>
        </w:tc>
        <w:tc>
          <w:tcPr>
            <w:tcW w:w="120" w:type="dxa"/>
            <w:vAlign w:val="bottom"/>
            <w:gridSpan w:val="4"/>
          </w:tcPr>
          <w:p>
            <w:pPr>
              <w:spacing w:after="0"/>
              <w:rPr>
                <w:sz w:val="16"/>
                <w:szCs w:val="16"/>
                <w:color w:val="auto"/>
              </w:rPr>
            </w:pPr>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top w:val="single" w:sz="8" w:color="0000FF"/>
            </w:tcBorders>
            <w:gridSpan w:val="16"/>
          </w:tcPr>
          <w:p>
            <w:pPr>
              <w:spacing w:after="0" w:line="188" w:lineRule="exact"/>
              <w:rPr>
                <w:sz w:val="20"/>
                <w:szCs w:val="20"/>
                <w:color w:val="auto"/>
              </w:rPr>
            </w:pPr>
            <w:r>
              <w:rPr>
                <w:rFonts w:ascii="Times New Roman" w:cs="Times New Roman" w:eastAsia="Times New Roman" w:hAnsi="Times New Roman"/>
                <w:sz w:val="18"/>
                <w:szCs w:val="18"/>
                <w:color w:val="0000FF"/>
              </w:rPr>
              <w:t>Owner (DE) LLC</w:t>
            </w:r>
          </w:p>
        </w:tc>
        <w:tc>
          <w:tcPr>
            <w:tcW w:w="260" w:type="dxa"/>
            <w:vAlign w:val="bottom"/>
            <w:gridSpan w:val="7"/>
          </w:tcPr>
          <w:p>
            <w:pPr>
              <w:spacing w:after="0"/>
              <w:rPr>
                <w:sz w:val="16"/>
                <w:szCs w:val="16"/>
                <w:color w:val="auto"/>
              </w:rPr>
            </w:pPr>
          </w:p>
        </w:tc>
        <w:tc>
          <w:tcPr>
            <w:tcW w:w="60" w:type="dxa"/>
            <w:vAlign w:val="bottom"/>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44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9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2015 Stock Incentive Plan and Forms</w:t>
            </w: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top w:val="single" w:sz="8" w:color="0000FF"/>
              <w:bottom w:val="single" w:sz="8" w:color="0000FF"/>
            </w:tcBorders>
            <w:gridSpan w:val="23"/>
          </w:tcPr>
          <w:p>
            <w:pPr>
              <w:spacing w:after="0" w:line="188" w:lineRule="exact"/>
              <w:rPr>
                <w:sz w:val="20"/>
                <w:szCs w:val="20"/>
                <w:color w:val="auto"/>
              </w:rPr>
            </w:pPr>
            <w:r>
              <w:rPr>
                <w:rFonts w:ascii="Times New Roman" w:cs="Times New Roman" w:eastAsia="Times New Roman" w:hAnsi="Times New Roman"/>
                <w:sz w:val="18"/>
                <w:szCs w:val="18"/>
                <w:color w:val="0000FF"/>
                <w:w w:val="97"/>
              </w:rPr>
              <w:t>of Option Grant Agreements, Exercise</w:t>
            </w:r>
          </w:p>
        </w:tc>
        <w:tc>
          <w:tcPr>
            <w:tcW w:w="60" w:type="dxa"/>
            <w:vAlign w:val="bottom"/>
            <w:tcBorders>
              <w:bottom w:val="single" w:sz="8" w:color="0000FF"/>
            </w:tcBorders>
            <w:gridSpan w:val="3"/>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40" w:right="1440" w:bottom="175" w:gutter="0" w:footer="0" w:header="0"/>
        </w:sectPr>
      </w:pPr>
    </w:p>
    <w:bookmarkStart w:id="100" w:name="page101"/>
    <w:bookmarkEnd w:id="100"/>
    <w:p>
      <w:pPr>
        <w:ind w:left="840"/>
        <w:spacing w:after="0"/>
        <w:rPr>
          <w:sz w:val="20"/>
          <w:szCs w:val="20"/>
          <w:color w:val="auto"/>
        </w:rPr>
      </w:pPr>
      <w:r>
        <w:rPr>
          <w:rFonts w:ascii="Times New Roman" w:cs="Times New Roman" w:eastAsia="Times New Roman" w:hAnsi="Times New Roman"/>
          <w:sz w:val="18"/>
          <w:szCs w:val="18"/>
          <w:u w:val="single" w:color="auto"/>
          <w:color w:val="0000FF"/>
        </w:rPr>
        <w:t>Notices and Restricted Stock</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0000FF"/>
        </w:rPr>
        <w:t>Agreement</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10.4+</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2021 Equity Incentive Plan and Forms</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February 1, 2021</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780" w:type="dxa"/>
            <w:vAlign w:val="bottom"/>
            <w:tcBorders>
              <w:top w:val="single" w:sz="8" w:color="0000FF"/>
            </w:tcBorders>
            <w:gridSpan w:val="36"/>
          </w:tcPr>
          <w:p>
            <w:pPr>
              <w:spacing w:after="0" w:line="187" w:lineRule="exact"/>
              <w:rPr>
                <w:sz w:val="20"/>
                <w:szCs w:val="20"/>
                <w:color w:val="auto"/>
              </w:rPr>
            </w:pPr>
            <w:r>
              <w:rPr>
                <w:rFonts w:ascii="Times New Roman" w:cs="Times New Roman" w:eastAsia="Times New Roman" w:hAnsi="Times New Roman"/>
                <w:sz w:val="18"/>
                <w:szCs w:val="18"/>
                <w:color w:val="0000FF"/>
              </w:rPr>
              <w:t>of Stock Option Grant Notice, 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700" w:type="dxa"/>
            <w:vAlign w:val="bottom"/>
            <w:tcBorders>
              <w:top w:val="single" w:sz="8" w:color="0000FF"/>
            </w:tcBorders>
            <w:gridSpan w:val="30"/>
          </w:tcPr>
          <w:p>
            <w:pPr>
              <w:spacing w:after="0" w:line="188" w:lineRule="exact"/>
              <w:rPr>
                <w:sz w:val="20"/>
                <w:szCs w:val="20"/>
                <w:color w:val="auto"/>
              </w:rPr>
            </w:pPr>
            <w:r>
              <w:rPr>
                <w:rFonts w:ascii="Times New Roman" w:cs="Times New Roman" w:eastAsia="Times New Roman" w:hAnsi="Times New Roman"/>
                <w:sz w:val="18"/>
                <w:szCs w:val="18"/>
                <w:color w:val="0000FF"/>
              </w:rPr>
              <w:t>Option Agreement, Restricted Stock</w:t>
            </w: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640" w:type="dxa"/>
            <w:vAlign w:val="bottom"/>
            <w:tcBorders>
              <w:top w:val="single" w:sz="8" w:color="0000FF"/>
            </w:tcBorders>
            <w:gridSpan w:val="27"/>
          </w:tcPr>
          <w:p>
            <w:pPr>
              <w:spacing w:after="0" w:line="187" w:lineRule="exact"/>
              <w:rPr>
                <w:sz w:val="20"/>
                <w:szCs w:val="20"/>
                <w:color w:val="auto"/>
              </w:rPr>
            </w:pPr>
            <w:r>
              <w:rPr>
                <w:rFonts w:ascii="Times New Roman" w:cs="Times New Roman" w:eastAsia="Times New Roman" w:hAnsi="Times New Roman"/>
                <w:sz w:val="18"/>
                <w:szCs w:val="18"/>
                <w:color w:val="0000FF"/>
              </w:rPr>
              <w:t>Unit Grant Notice and Restricted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160" w:type="dxa"/>
            <w:vAlign w:val="bottom"/>
            <w:tcBorders>
              <w:top w:val="single" w:sz="8" w:color="0000FF"/>
              <w:bottom w:val="single" w:sz="8" w:color="0000FF"/>
            </w:tcBorders>
            <w:gridSpan w:val="13"/>
          </w:tcPr>
          <w:p>
            <w:pPr>
              <w:spacing w:after="0" w:line="188" w:lineRule="exact"/>
              <w:rPr>
                <w:sz w:val="20"/>
                <w:szCs w:val="20"/>
                <w:color w:val="auto"/>
              </w:rPr>
            </w:pPr>
            <w:r>
              <w:rPr>
                <w:rFonts w:ascii="Times New Roman" w:cs="Times New Roman" w:eastAsia="Times New Roman" w:hAnsi="Times New Roman"/>
                <w:sz w:val="18"/>
                <w:szCs w:val="18"/>
                <w:color w:val="0000FF"/>
                <w:w w:val="99"/>
              </w:rPr>
              <w:t>Stock Unit Award Agreement</w:t>
            </w:r>
          </w:p>
        </w:tc>
        <w:tc>
          <w:tcPr>
            <w:tcW w:w="240" w:type="dxa"/>
            <w:vAlign w:val="bottom"/>
            <w:tcBorders>
              <w:top w:val="single" w:sz="8" w:color="0000FF"/>
            </w:tcBorders>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10.5+</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Amended and Restated 2021 Equity</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August 27, 2025</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1040" w:type="dxa"/>
            <w:vAlign w:val="bottom"/>
            <w:tcBorders>
              <w:top w:val="single" w:sz="8" w:color="0000FF"/>
              <w:bottom w:val="single" w:sz="8" w:color="0000FF"/>
            </w:tcBorders>
            <w:gridSpan w:val="5"/>
          </w:tcPr>
          <w:p>
            <w:pPr>
              <w:spacing w:after="0" w:line="187" w:lineRule="exact"/>
              <w:rPr>
                <w:sz w:val="20"/>
                <w:szCs w:val="20"/>
                <w:color w:val="auto"/>
              </w:rPr>
            </w:pPr>
            <w:r>
              <w:rPr>
                <w:rFonts w:ascii="Times New Roman" w:cs="Times New Roman" w:eastAsia="Times New Roman" w:hAnsi="Times New Roman"/>
                <w:sz w:val="18"/>
                <w:szCs w:val="18"/>
                <w:color w:val="0000FF"/>
                <w:w w:val="98"/>
              </w:rPr>
              <w:t>Incentive Plan</w:t>
            </w:r>
          </w:p>
        </w:tc>
        <w:tc>
          <w:tcPr>
            <w:tcW w:w="1580" w:type="dxa"/>
            <w:vAlign w:val="bottom"/>
            <w:tcBorders>
              <w:top w:val="single" w:sz="8" w:color="0000FF"/>
            </w:tcBorders>
            <w:gridSpan w:val="21"/>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10.6+</w:t>
            </w:r>
          </w:p>
        </w:tc>
        <w:tc>
          <w:tcPr>
            <w:tcW w:w="27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2021 Employee Stock Purchase Plan</w:t>
            </w:r>
          </w:p>
        </w:tc>
        <w:tc>
          <w:tcPr>
            <w:tcW w:w="180" w:type="dxa"/>
            <w:vAlign w:val="bottom"/>
            <w:gridSpan w:val="6"/>
          </w:tcPr>
          <w:p>
            <w:pPr>
              <w:spacing w:after="0"/>
              <w:rPr>
                <w:sz w:val="24"/>
                <w:szCs w:val="24"/>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February 1, 2021</w:t>
            </w:r>
          </w:p>
        </w:tc>
        <w:tc>
          <w:tcPr>
            <w:tcW w:w="0" w:type="dxa"/>
            <w:vAlign w:val="bottom"/>
          </w:tcPr>
          <w:p>
            <w:pPr>
              <w:spacing w:after="0"/>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10.7+</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2023 Inducement Plan and Forms of</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S-8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333-274275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August 30, 2023</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660" w:type="dxa"/>
            <w:vAlign w:val="bottom"/>
            <w:tcBorders>
              <w:top w:val="single" w:sz="8" w:color="0000FF"/>
            </w:tcBorders>
            <w:gridSpan w:val="28"/>
          </w:tcPr>
          <w:p>
            <w:pPr>
              <w:spacing w:after="0" w:line="188" w:lineRule="exact"/>
              <w:rPr>
                <w:sz w:val="20"/>
                <w:szCs w:val="20"/>
                <w:color w:val="auto"/>
              </w:rPr>
            </w:pPr>
            <w:r>
              <w:rPr>
                <w:rFonts w:ascii="Times New Roman" w:cs="Times New Roman" w:eastAsia="Times New Roman" w:hAnsi="Times New Roman"/>
                <w:sz w:val="18"/>
                <w:szCs w:val="18"/>
                <w:color w:val="0000FF"/>
              </w:rPr>
              <w:t>Stock Option Grant Notice, Stock</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440" w:type="dxa"/>
            <w:vAlign w:val="bottom"/>
            <w:tcBorders>
              <w:top w:val="single" w:sz="8" w:color="0000FF"/>
            </w:tcBorders>
            <w:gridSpan w:val="19"/>
          </w:tcPr>
          <w:p>
            <w:pPr>
              <w:spacing w:after="0" w:line="187" w:lineRule="exact"/>
              <w:rPr>
                <w:sz w:val="20"/>
                <w:szCs w:val="20"/>
                <w:color w:val="auto"/>
              </w:rPr>
            </w:pPr>
            <w:r>
              <w:rPr>
                <w:rFonts w:ascii="Times New Roman" w:cs="Times New Roman" w:eastAsia="Times New Roman" w:hAnsi="Times New Roman"/>
                <w:sz w:val="18"/>
                <w:szCs w:val="18"/>
                <w:color w:val="0000FF"/>
              </w:rPr>
              <w:t>Option Agreement, Notice of</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120" w:type="dxa"/>
            <w:vAlign w:val="bottom"/>
            <w:tcBorders>
              <w:top w:val="single" w:sz="8" w:color="0000FF"/>
            </w:tcBorders>
            <w:gridSpan w:val="12"/>
          </w:tcPr>
          <w:p>
            <w:pPr>
              <w:spacing w:after="0" w:line="188" w:lineRule="exact"/>
              <w:rPr>
                <w:sz w:val="20"/>
                <w:szCs w:val="20"/>
                <w:color w:val="auto"/>
              </w:rPr>
            </w:pPr>
            <w:r>
              <w:rPr>
                <w:rFonts w:ascii="Times New Roman" w:cs="Times New Roman" w:eastAsia="Times New Roman" w:hAnsi="Times New Roman"/>
                <w:sz w:val="18"/>
                <w:szCs w:val="18"/>
                <w:color w:val="0000FF"/>
              </w:rPr>
              <w:t>Exercise, RSU Award Grant</w:t>
            </w:r>
          </w:p>
        </w:tc>
        <w:tc>
          <w:tcPr>
            <w:tcW w:w="760" w:type="dxa"/>
            <w:vAlign w:val="bottom"/>
            <w:gridSpan w:val="26"/>
          </w:tcPr>
          <w:p>
            <w:pPr>
              <w:spacing w:after="0" w:line="188" w:lineRule="exact"/>
              <w:rPr>
                <w:sz w:val="20"/>
                <w:szCs w:val="20"/>
                <w:color w:val="auto"/>
              </w:rPr>
            </w:pPr>
            <w:r>
              <w:rPr>
                <w:rFonts w:ascii="Times New Roman" w:cs="Times New Roman" w:eastAsia="Times New Roman" w:hAnsi="Times New Roman"/>
                <w:sz w:val="18"/>
                <w:szCs w:val="18"/>
                <w:color w:val="0000FF"/>
              </w:rPr>
              <w:t>Notice</w:t>
            </w: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580" w:type="dxa"/>
            <w:vAlign w:val="bottom"/>
            <w:tcBorders>
              <w:top w:val="single" w:sz="8" w:color="0000FF"/>
              <w:bottom w:val="single" w:sz="8" w:color="0000FF"/>
            </w:tcBorders>
            <w:gridSpan w:val="24"/>
          </w:tcPr>
          <w:p>
            <w:pPr>
              <w:spacing w:after="0" w:line="187" w:lineRule="exact"/>
              <w:rPr>
                <w:sz w:val="20"/>
                <w:szCs w:val="20"/>
                <w:color w:val="auto"/>
              </w:rPr>
            </w:pPr>
            <w:r>
              <w:rPr>
                <w:rFonts w:ascii="Times New Roman" w:cs="Times New Roman" w:eastAsia="Times New Roman" w:hAnsi="Times New Roman"/>
                <w:sz w:val="18"/>
                <w:szCs w:val="18"/>
                <w:color w:val="0000FF"/>
                <w:w w:val="95"/>
              </w:rPr>
              <w:t>and Award Agreement (RSU Award)</w:t>
            </w:r>
          </w:p>
        </w:tc>
        <w:tc>
          <w:tcPr>
            <w:tcW w:w="20" w:type="dxa"/>
            <w:vAlign w:val="bottom"/>
            <w:tcBorders>
              <w:bottom w:val="single" w:sz="8" w:color="0000FF"/>
            </w:tcBorders>
          </w:tcPr>
          <w:p>
            <w:pPr>
              <w:spacing w:after="0"/>
              <w:rPr>
                <w:sz w:val="16"/>
                <w:szCs w:val="16"/>
                <w:color w:val="auto"/>
              </w:rPr>
            </w:pPr>
          </w:p>
        </w:tc>
        <w:tc>
          <w:tcPr>
            <w:tcW w:w="80" w:type="dxa"/>
            <w:vAlign w:val="bottom"/>
            <w:tcBorders>
              <w:bottom w:val="single" w:sz="8" w:color="0000FF"/>
            </w:tcBorders>
            <w:gridSpan w:val="4"/>
          </w:tcPr>
          <w:p>
            <w:pPr>
              <w:spacing w:after="0"/>
              <w:rPr>
                <w:sz w:val="16"/>
                <w:szCs w:val="16"/>
                <w:color w:val="auto"/>
              </w:rPr>
            </w:pPr>
          </w:p>
        </w:tc>
        <w:tc>
          <w:tcPr>
            <w:tcW w:w="40" w:type="dxa"/>
            <w:vAlign w:val="bottom"/>
            <w:tcBorders>
              <w:bottom w:val="single" w:sz="8" w:color="0000FF"/>
            </w:tcBorders>
            <w:gridSpan w:val="2"/>
          </w:tcPr>
          <w:p>
            <w:pPr>
              <w:spacing w:after="0"/>
              <w:rPr>
                <w:sz w:val="16"/>
                <w:szCs w:val="16"/>
                <w:color w:val="auto"/>
              </w:rPr>
            </w:pPr>
          </w:p>
        </w:tc>
        <w:tc>
          <w:tcPr>
            <w:tcW w:w="4294967277"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780" w:type="dxa"/>
            <w:vAlign w:val="bottom"/>
            <w:tcBorders>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8"/>
                <w:szCs w:val="18"/>
                <w:color w:val="0000FF"/>
                <w:w w:val="98"/>
              </w:rPr>
              <w:t>thereunder</w:t>
            </w:r>
          </w:p>
        </w:tc>
        <w:tc>
          <w:tcPr>
            <w:tcW w:w="1920" w:type="dxa"/>
            <w:vAlign w:val="bottom"/>
            <w:gridSpan w:val="30"/>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10.8+</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Indemnification Agreement</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1"/>
              </w:rPr>
              <w:t>S- 1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January 15, 2021</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680" w:type="dxa"/>
            <w:vAlign w:val="bottom"/>
            <w:tcBorders>
              <w:top w:val="single" w:sz="8" w:color="0000FF"/>
              <w:bottom w:val="single" w:sz="8" w:color="0000FF"/>
            </w:tcBorders>
            <w:gridSpan w:val="29"/>
          </w:tcPr>
          <w:p>
            <w:pPr>
              <w:spacing w:after="0" w:line="187" w:lineRule="exact"/>
              <w:rPr>
                <w:sz w:val="20"/>
                <w:szCs w:val="20"/>
                <w:color w:val="auto"/>
              </w:rPr>
            </w:pPr>
            <w:r>
              <w:rPr>
                <w:rFonts w:ascii="Times New Roman" w:cs="Times New Roman" w:eastAsia="Times New Roman" w:hAnsi="Times New Roman"/>
                <w:sz w:val="18"/>
                <w:szCs w:val="18"/>
                <w:color w:val="0000FF"/>
                <w:w w:val="97"/>
              </w:rPr>
              <w:t>with Executive Officers and Directors</w:t>
            </w:r>
          </w:p>
        </w:tc>
        <w:tc>
          <w:tcPr>
            <w:tcW w:w="40" w:type="dxa"/>
            <w:vAlign w:val="bottom"/>
            <w:tcBorders>
              <w:bottom w:val="single" w:sz="8" w:color="0000FF"/>
            </w:tcBorders>
            <w:gridSpan w:val="2"/>
          </w:tcPr>
          <w:p>
            <w:pPr>
              <w:spacing w:after="0"/>
              <w:rPr>
                <w:sz w:val="16"/>
                <w:szCs w:val="16"/>
                <w:color w:val="auto"/>
              </w:rPr>
            </w:pPr>
          </w:p>
        </w:tc>
        <w:tc>
          <w:tcPr>
            <w:tcW w:w="0" w:type="dxa"/>
            <w:vAlign w:val="bottom"/>
            <w:tcBorders>
              <w:bottom w:val="single" w:sz="8" w:color="0000FF"/>
            </w:tcBorders>
            <w:gridSpan w:val="2"/>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10.9+</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Offer Letter, by and between the</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1"/>
              </w:rPr>
              <w:t>S- 1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January 15, 2021</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360" w:type="dxa"/>
            <w:vAlign w:val="bottom"/>
            <w:tcBorders>
              <w:top w:val="single" w:sz="8" w:color="0000FF"/>
            </w:tcBorders>
            <w:gridSpan w:val="15"/>
          </w:tcPr>
          <w:p>
            <w:pPr>
              <w:spacing w:after="0" w:line="188" w:lineRule="exact"/>
              <w:rPr>
                <w:sz w:val="20"/>
                <w:szCs w:val="20"/>
                <w:color w:val="auto"/>
              </w:rPr>
            </w:pPr>
            <w:r>
              <w:rPr>
                <w:rFonts w:ascii="Times New Roman" w:cs="Times New Roman" w:eastAsia="Times New Roman" w:hAnsi="Times New Roman"/>
                <w:sz w:val="18"/>
                <w:szCs w:val="18"/>
                <w:color w:val="0000FF"/>
                <w:w w:val="96"/>
              </w:rPr>
              <w:t>Registrant and Robert Ang, dated</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17"/>
          </w:tcPr>
          <w:p>
            <w:pPr>
              <w:spacing w:after="0" w:line="188" w:lineRule="exact"/>
              <w:rPr>
                <w:sz w:val="20"/>
                <w:szCs w:val="20"/>
                <w:color w:val="auto"/>
              </w:rPr>
            </w:pPr>
            <w:r>
              <w:rPr>
                <w:rFonts w:ascii="Times New Roman" w:cs="Times New Roman" w:eastAsia="Times New Roman" w:hAnsi="Times New Roman"/>
                <w:sz w:val="18"/>
                <w:szCs w:val="18"/>
                <w:color w:val="0000FF"/>
              </w:rPr>
              <w:t>June</w:t>
            </w: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640" w:type="dxa"/>
            <w:vAlign w:val="bottom"/>
            <w:tcBorders>
              <w:top w:val="single" w:sz="8" w:color="0000FF"/>
              <w:bottom w:val="single" w:sz="8" w:color="0000FF"/>
            </w:tcBorders>
          </w:tcPr>
          <w:p>
            <w:pPr>
              <w:spacing w:after="0" w:line="187" w:lineRule="exact"/>
              <w:rPr>
                <w:sz w:val="20"/>
                <w:szCs w:val="20"/>
                <w:color w:val="auto"/>
              </w:rPr>
            </w:pPr>
            <w:r>
              <w:rPr>
                <w:rFonts w:ascii="Times New Roman" w:cs="Times New Roman" w:eastAsia="Times New Roman" w:hAnsi="Times New Roman"/>
                <w:sz w:val="18"/>
                <w:szCs w:val="18"/>
                <w:color w:val="0000FF"/>
                <w:w w:val="98"/>
              </w:rPr>
              <w:t>28, 2019</w:t>
            </w: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294967277"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10.10+</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Transition Agreement, dated as of</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June 26, 2025</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460" w:type="dxa"/>
            <w:vAlign w:val="bottom"/>
            <w:tcBorders>
              <w:top w:val="single" w:sz="8" w:color="0000FF"/>
              <w:bottom w:val="single" w:sz="8" w:color="0000FF"/>
            </w:tcBorders>
            <w:gridSpan w:val="20"/>
          </w:tcPr>
          <w:p>
            <w:pPr>
              <w:spacing w:after="0" w:line="188" w:lineRule="exact"/>
              <w:rPr>
                <w:sz w:val="20"/>
                <w:szCs w:val="20"/>
                <w:color w:val="auto"/>
              </w:rPr>
            </w:pPr>
            <w:r>
              <w:rPr>
                <w:rFonts w:ascii="Times New Roman" w:cs="Times New Roman" w:eastAsia="Times New Roman" w:hAnsi="Times New Roman"/>
                <w:sz w:val="18"/>
                <w:szCs w:val="18"/>
                <w:color w:val="0000FF"/>
                <w:w w:val="97"/>
              </w:rPr>
              <w:t>June 25, 2025, by and between the</w:t>
            </w: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80" w:type="dxa"/>
            <w:vAlign w:val="bottom"/>
            <w:gridSpan w:val="2"/>
          </w:tcPr>
          <w:p>
            <w:pPr>
              <w:spacing w:after="0"/>
              <w:rPr>
                <w:sz w:val="16"/>
                <w:szCs w:val="16"/>
                <w:color w:val="auto"/>
              </w:rPr>
            </w:pPr>
          </w:p>
        </w:tc>
        <w:tc>
          <w:tcPr>
            <w:tcW w:w="120" w:type="dxa"/>
            <w:vAlign w:val="bottom"/>
            <w:gridSpan w:val="6"/>
          </w:tcPr>
          <w:p>
            <w:pPr>
              <w:spacing w:after="0"/>
              <w:rPr>
                <w:sz w:val="16"/>
                <w:szCs w:val="16"/>
                <w:color w:val="auto"/>
              </w:rPr>
            </w:pPr>
          </w:p>
        </w:tc>
        <w:tc>
          <w:tcPr>
            <w:tcW w:w="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1940" w:type="dxa"/>
            <w:vAlign w:val="bottom"/>
            <w:tcBorders>
              <w:bottom w:val="single" w:sz="8" w:color="0000FF"/>
            </w:tcBorders>
            <w:gridSpan w:val="8"/>
          </w:tcPr>
          <w:p>
            <w:pPr>
              <w:spacing w:after="0" w:line="187" w:lineRule="exact"/>
              <w:rPr>
                <w:sz w:val="20"/>
                <w:szCs w:val="20"/>
                <w:color w:val="auto"/>
              </w:rPr>
            </w:pPr>
            <w:r>
              <w:rPr>
                <w:rFonts w:ascii="Times New Roman" w:cs="Times New Roman" w:eastAsia="Times New Roman" w:hAnsi="Times New Roman"/>
                <w:sz w:val="18"/>
                <w:szCs w:val="18"/>
                <w:color w:val="0000FF"/>
                <w:w w:val="99"/>
              </w:rPr>
              <w:t>Registrant and Robert Ang</w:t>
            </w:r>
          </w:p>
        </w:tc>
        <w:tc>
          <w:tcPr>
            <w:tcW w:w="580" w:type="dxa"/>
            <w:vAlign w:val="bottom"/>
            <w:gridSpan w:val="15"/>
          </w:tcPr>
          <w:p>
            <w:pPr>
              <w:spacing w:after="0"/>
              <w:rPr>
                <w:sz w:val="16"/>
                <w:szCs w:val="16"/>
                <w:color w:val="auto"/>
              </w:rPr>
            </w:pPr>
          </w:p>
        </w:tc>
        <w:tc>
          <w:tcPr>
            <w:tcW w:w="80" w:type="dxa"/>
            <w:vAlign w:val="bottom"/>
            <w:gridSpan w:val="2"/>
          </w:tcPr>
          <w:p>
            <w:pPr>
              <w:spacing w:after="0"/>
              <w:rPr>
                <w:sz w:val="16"/>
                <w:szCs w:val="16"/>
                <w:color w:val="auto"/>
              </w:rPr>
            </w:pPr>
          </w:p>
        </w:tc>
        <w:tc>
          <w:tcPr>
            <w:tcW w:w="120" w:type="dxa"/>
            <w:vAlign w:val="bottom"/>
            <w:gridSpan w:val="6"/>
          </w:tcPr>
          <w:p>
            <w:pPr>
              <w:spacing w:after="0"/>
              <w:rPr>
                <w:sz w:val="16"/>
                <w:szCs w:val="16"/>
                <w:color w:val="auto"/>
              </w:rPr>
            </w:pPr>
          </w:p>
        </w:tc>
        <w:tc>
          <w:tcPr>
            <w:tcW w:w="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10.11+</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Employment Agreement, dated as of</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June 26, 2025</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720" w:type="dxa"/>
            <w:vAlign w:val="bottom"/>
            <w:tcBorders>
              <w:top w:val="single" w:sz="8" w:color="0000FF"/>
            </w:tcBorders>
            <w:gridSpan w:val="31"/>
          </w:tcPr>
          <w:p>
            <w:pPr>
              <w:spacing w:after="0" w:line="187" w:lineRule="exact"/>
              <w:rPr>
                <w:sz w:val="20"/>
                <w:szCs w:val="20"/>
                <w:color w:val="auto"/>
              </w:rPr>
            </w:pPr>
            <w:r>
              <w:rPr>
                <w:rFonts w:ascii="Times New Roman" w:cs="Times New Roman" w:eastAsia="Times New Roman" w:hAnsi="Times New Roman"/>
                <w:sz w:val="18"/>
                <w:szCs w:val="18"/>
                <w:color w:val="0000FF"/>
              </w:rPr>
              <w:t>June 25, 2025, by and between the</w:t>
            </w:r>
          </w:p>
        </w:tc>
        <w:tc>
          <w:tcPr>
            <w:tcW w:w="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520" w:type="dxa"/>
            <w:vAlign w:val="bottom"/>
            <w:tcBorders>
              <w:top w:val="single" w:sz="8" w:color="0000FF"/>
            </w:tcBorders>
            <w:gridSpan w:val="23"/>
          </w:tcPr>
          <w:p>
            <w:pPr>
              <w:spacing w:after="0" w:line="187" w:lineRule="exact"/>
              <w:rPr>
                <w:sz w:val="20"/>
                <w:szCs w:val="20"/>
                <w:color w:val="auto"/>
              </w:rPr>
            </w:pPr>
            <w:r>
              <w:rPr>
                <w:rFonts w:ascii="Times New Roman" w:cs="Times New Roman" w:eastAsia="Times New Roman" w:hAnsi="Times New Roman"/>
                <w:sz w:val="18"/>
                <w:szCs w:val="18"/>
                <w:color w:val="0000FF"/>
              </w:rPr>
              <w:t>Registrant and Jean-Paul Kress</w:t>
            </w:r>
          </w:p>
        </w:tc>
        <w:tc>
          <w:tcPr>
            <w:tcW w:w="80" w:type="dxa"/>
            <w:vAlign w:val="bottom"/>
            <w:gridSpan w:val="2"/>
          </w:tcPr>
          <w:p>
            <w:pPr>
              <w:spacing w:after="0"/>
              <w:rPr>
                <w:sz w:val="16"/>
                <w:szCs w:val="16"/>
                <w:color w:val="auto"/>
              </w:rPr>
            </w:pPr>
          </w:p>
        </w:tc>
        <w:tc>
          <w:tcPr>
            <w:tcW w:w="120" w:type="dxa"/>
            <w:vAlign w:val="bottom"/>
            <w:gridSpan w:val="8"/>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10.12+</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Employment Agreement, dated as of</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July 10, 2025</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720" w:type="dxa"/>
            <w:vAlign w:val="bottom"/>
            <w:tcBorders>
              <w:top w:val="single" w:sz="8" w:color="0000FF"/>
            </w:tcBorders>
            <w:gridSpan w:val="31"/>
          </w:tcPr>
          <w:p>
            <w:pPr>
              <w:spacing w:after="0" w:line="187" w:lineRule="exact"/>
              <w:rPr>
                <w:sz w:val="20"/>
                <w:szCs w:val="20"/>
                <w:color w:val="auto"/>
              </w:rPr>
            </w:pPr>
            <w:r>
              <w:rPr>
                <w:rFonts w:ascii="Times New Roman" w:cs="Times New Roman" w:eastAsia="Times New Roman" w:hAnsi="Times New Roman"/>
                <w:sz w:val="18"/>
                <w:szCs w:val="18"/>
                <w:color w:val="0000FF"/>
              </w:rPr>
              <w:t>July 9, 2025, by and between the</w:t>
            </w:r>
          </w:p>
        </w:tc>
        <w:tc>
          <w:tcPr>
            <w:tcW w:w="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380" w:type="dxa"/>
            <w:vAlign w:val="bottom"/>
            <w:tcBorders>
              <w:top w:val="single" w:sz="8" w:color="0000FF"/>
              <w:bottom w:val="single" w:sz="8" w:color="0000FF"/>
            </w:tcBorders>
            <w:gridSpan w:val="16"/>
          </w:tcPr>
          <w:p>
            <w:pPr>
              <w:spacing w:after="0" w:line="188" w:lineRule="exact"/>
              <w:rPr>
                <w:sz w:val="20"/>
                <w:szCs w:val="20"/>
                <w:color w:val="auto"/>
              </w:rPr>
            </w:pPr>
            <w:r>
              <w:rPr>
                <w:rFonts w:ascii="Times New Roman" w:cs="Times New Roman" w:eastAsia="Times New Roman" w:hAnsi="Times New Roman"/>
                <w:sz w:val="18"/>
                <w:szCs w:val="18"/>
                <w:color w:val="0000FF"/>
                <w:w w:val="97"/>
              </w:rPr>
              <w:t>Registrant and Sandesh Mahatme</w:t>
            </w:r>
          </w:p>
        </w:tc>
        <w:tc>
          <w:tcPr>
            <w:tcW w:w="40" w:type="dxa"/>
            <w:vAlign w:val="bottom"/>
            <w:tcBorders>
              <w:bottom w:val="single" w:sz="8" w:color="0000FF"/>
            </w:tcBorders>
            <w:gridSpan w:val="2"/>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120" w:type="dxa"/>
            <w:vAlign w:val="bottom"/>
            <w:gridSpan w:val="8"/>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10.13+</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Employment Agreement, dated as of</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July 22, 2025</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720" w:type="dxa"/>
            <w:vAlign w:val="bottom"/>
            <w:tcBorders>
              <w:top w:val="single" w:sz="8" w:color="0000FF"/>
            </w:tcBorders>
            <w:gridSpan w:val="31"/>
          </w:tcPr>
          <w:p>
            <w:pPr>
              <w:spacing w:after="0" w:line="187" w:lineRule="exact"/>
              <w:rPr>
                <w:sz w:val="20"/>
                <w:szCs w:val="20"/>
                <w:color w:val="auto"/>
              </w:rPr>
            </w:pPr>
            <w:r>
              <w:rPr>
                <w:rFonts w:ascii="Times New Roman" w:cs="Times New Roman" w:eastAsia="Times New Roman" w:hAnsi="Times New Roman"/>
                <w:sz w:val="18"/>
                <w:szCs w:val="18"/>
                <w:color w:val="0000FF"/>
              </w:rPr>
              <w:t>July 17, 2025, by and between the</w:t>
            </w:r>
          </w:p>
        </w:tc>
        <w:tc>
          <w:tcPr>
            <w:tcW w:w="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480" w:type="dxa"/>
            <w:vAlign w:val="bottom"/>
            <w:tcBorders>
              <w:top w:val="single" w:sz="8" w:color="0000FF"/>
            </w:tcBorders>
            <w:gridSpan w:val="21"/>
          </w:tcPr>
          <w:p>
            <w:pPr>
              <w:spacing w:after="0" w:line="188" w:lineRule="exact"/>
              <w:rPr>
                <w:sz w:val="20"/>
                <w:szCs w:val="20"/>
                <w:color w:val="auto"/>
              </w:rPr>
            </w:pPr>
            <w:r>
              <w:rPr>
                <w:rFonts w:ascii="Times New Roman" w:cs="Times New Roman" w:eastAsia="Times New Roman" w:hAnsi="Times New Roman"/>
                <w:sz w:val="18"/>
                <w:szCs w:val="18"/>
                <w:color w:val="0000FF"/>
              </w:rPr>
              <w:t>Registrant and Qing Zuraw</w:t>
            </w:r>
          </w:p>
        </w:tc>
        <w:tc>
          <w:tcPr>
            <w:tcW w:w="2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120" w:type="dxa"/>
            <w:vAlign w:val="bottom"/>
            <w:gridSpan w:val="8"/>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10.14+</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Amendment to Employment</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November 13, 2025</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060" w:type="dxa"/>
            <w:vAlign w:val="bottom"/>
            <w:tcBorders>
              <w:top w:val="single" w:sz="8" w:color="0000FF"/>
            </w:tcBorders>
            <w:gridSpan w:val="11"/>
          </w:tcPr>
          <w:p>
            <w:pPr>
              <w:spacing w:after="0" w:line="187" w:lineRule="exact"/>
              <w:rPr>
                <w:sz w:val="20"/>
                <w:szCs w:val="20"/>
                <w:color w:val="auto"/>
              </w:rPr>
            </w:pPr>
            <w:r>
              <w:rPr>
                <w:rFonts w:ascii="Times New Roman" w:cs="Times New Roman" w:eastAsia="Times New Roman" w:hAnsi="Times New Roman"/>
                <w:sz w:val="18"/>
                <w:szCs w:val="18"/>
                <w:color w:val="0000FF"/>
                <w:w w:val="97"/>
              </w:rPr>
              <w:t>Agreement, dated November</w:t>
            </w:r>
          </w:p>
        </w:tc>
        <w:tc>
          <w:tcPr>
            <w:tcW w:w="700" w:type="dxa"/>
            <w:vAlign w:val="bottom"/>
            <w:gridSpan w:val="24"/>
          </w:tcPr>
          <w:p>
            <w:pPr>
              <w:ind w:left="80"/>
              <w:spacing w:after="0" w:line="187" w:lineRule="exact"/>
              <w:rPr>
                <w:sz w:val="20"/>
                <w:szCs w:val="20"/>
                <w:color w:val="auto"/>
              </w:rPr>
            </w:pPr>
            <w:r>
              <w:rPr>
                <w:rFonts w:ascii="Times New Roman" w:cs="Times New Roman" w:eastAsia="Times New Roman" w:hAnsi="Times New Roman"/>
                <w:sz w:val="18"/>
                <w:szCs w:val="18"/>
                <w:color w:val="0000FF"/>
              </w:rPr>
              <w:t>2, 2025,</w:t>
            </w: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720" w:type="dxa"/>
            <w:vAlign w:val="bottom"/>
            <w:tcBorders>
              <w:top w:val="single" w:sz="8" w:color="0000FF"/>
            </w:tcBorders>
            <w:gridSpan w:val="33"/>
          </w:tcPr>
          <w:p>
            <w:pPr>
              <w:spacing w:after="0" w:line="188" w:lineRule="exact"/>
              <w:rPr>
                <w:sz w:val="20"/>
                <w:szCs w:val="20"/>
                <w:color w:val="auto"/>
              </w:rPr>
            </w:pPr>
            <w:r>
              <w:rPr>
                <w:rFonts w:ascii="Times New Roman" w:cs="Times New Roman" w:eastAsia="Times New Roman" w:hAnsi="Times New Roman"/>
                <w:sz w:val="18"/>
                <w:szCs w:val="18"/>
                <w:color w:val="0000FF"/>
              </w:rPr>
              <w:t>by and between the Registrant and</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880" w:type="dxa"/>
            <w:vAlign w:val="bottom"/>
            <w:tcBorders>
              <w:top w:val="single" w:sz="8" w:color="0000FF"/>
              <w:bottom w:val="single" w:sz="8" w:color="0000FF"/>
            </w:tcBorders>
            <w:gridSpan w:val="3"/>
          </w:tcPr>
          <w:p>
            <w:pPr>
              <w:spacing w:after="0" w:line="187" w:lineRule="exact"/>
              <w:rPr>
                <w:sz w:val="20"/>
                <w:szCs w:val="20"/>
                <w:color w:val="auto"/>
              </w:rPr>
            </w:pPr>
            <w:r>
              <w:rPr>
                <w:rFonts w:ascii="Times New Roman" w:cs="Times New Roman" w:eastAsia="Times New Roman" w:hAnsi="Times New Roman"/>
                <w:sz w:val="18"/>
                <w:szCs w:val="18"/>
                <w:color w:val="0000FF"/>
                <w:w w:val="98"/>
              </w:rPr>
              <w:t>Qing Zuraw</w:t>
            </w:r>
          </w:p>
        </w:tc>
        <w:tc>
          <w:tcPr>
            <w:tcW w:w="1620" w:type="dxa"/>
            <w:vAlign w:val="bottom"/>
            <w:tcBorders>
              <w:top w:val="single" w:sz="8" w:color="0000FF"/>
            </w:tcBorders>
            <w:gridSpan w:val="19"/>
          </w:tcPr>
          <w:p>
            <w:pPr>
              <w:spacing w:after="0"/>
              <w:rPr>
                <w:sz w:val="16"/>
                <w:szCs w:val="16"/>
                <w:color w:val="auto"/>
              </w:rPr>
            </w:pPr>
          </w:p>
        </w:tc>
        <w:tc>
          <w:tcPr>
            <w:tcW w:w="100" w:type="dxa"/>
            <w:vAlign w:val="bottom"/>
            <w:gridSpan w:val="3"/>
          </w:tcPr>
          <w:p>
            <w:pPr>
              <w:spacing w:after="0"/>
              <w:rPr>
                <w:sz w:val="16"/>
                <w:szCs w:val="16"/>
                <w:color w:val="auto"/>
              </w:rPr>
            </w:pPr>
          </w:p>
        </w:tc>
        <w:tc>
          <w:tcPr>
            <w:tcW w:w="16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10.15+</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Non-Employee Director</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1740" w:type="dxa"/>
            <w:vAlign w:val="bottom"/>
            <w:tcBorders>
              <w:top w:val="single" w:sz="8" w:color="0000FF"/>
            </w:tcBorders>
            <w:gridSpan w:val="7"/>
          </w:tcPr>
          <w:p>
            <w:pPr>
              <w:spacing w:after="0" w:line="188" w:lineRule="exact"/>
              <w:rPr>
                <w:sz w:val="20"/>
                <w:szCs w:val="20"/>
                <w:color w:val="auto"/>
              </w:rPr>
            </w:pPr>
            <w:r>
              <w:rPr>
                <w:rFonts w:ascii="Times New Roman" w:cs="Times New Roman" w:eastAsia="Times New Roman" w:hAnsi="Times New Roman"/>
                <w:sz w:val="18"/>
                <w:szCs w:val="18"/>
                <w:color w:val="0000FF"/>
              </w:rPr>
              <w:t>Compensation Policy</w:t>
            </w:r>
          </w:p>
        </w:tc>
        <w:tc>
          <w:tcPr>
            <w:tcW w:w="300" w:type="dxa"/>
            <w:vAlign w:val="bottom"/>
            <w:gridSpan w:val="3"/>
          </w:tcPr>
          <w:p>
            <w:pPr>
              <w:spacing w:after="0"/>
              <w:rPr>
                <w:sz w:val="16"/>
                <w:szCs w:val="16"/>
                <w:color w:val="auto"/>
              </w:rPr>
            </w:pPr>
          </w:p>
        </w:tc>
        <w:tc>
          <w:tcPr>
            <w:tcW w:w="380" w:type="dxa"/>
            <w:vAlign w:val="bottom"/>
            <w:gridSpan w:val="8"/>
          </w:tcPr>
          <w:p>
            <w:pPr>
              <w:spacing w:after="0"/>
              <w:rPr>
                <w:sz w:val="16"/>
                <w:szCs w:val="16"/>
                <w:color w:val="auto"/>
              </w:rPr>
            </w:pPr>
          </w:p>
        </w:tc>
        <w:tc>
          <w:tcPr>
            <w:tcW w:w="180" w:type="dxa"/>
            <w:vAlign w:val="bottom"/>
            <w:gridSpan w:val="7"/>
          </w:tcPr>
          <w:p>
            <w:pPr>
              <w:spacing w:after="0"/>
              <w:rPr>
                <w:sz w:val="16"/>
                <w:szCs w:val="16"/>
                <w:color w:val="auto"/>
              </w:rPr>
            </w:pPr>
          </w:p>
        </w:tc>
        <w:tc>
          <w:tcPr>
            <w:tcW w:w="16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88"/>
              </w:rPr>
              <w:t>10. 16</w:t>
            </w:r>
          </w:p>
        </w:tc>
        <w:tc>
          <w:tcPr>
            <w:tcW w:w="92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20" w:type="dxa"/>
            <w:vAlign w:val="bottom"/>
            <w:vMerge w:val="continue"/>
          </w:tcPr>
          <w:p>
            <w:pPr>
              <w:spacing w:after="0"/>
              <w:rPr>
                <w:sz w:val="24"/>
                <w:szCs w:val="24"/>
                <w:color w:val="auto"/>
              </w:rPr>
            </w:pP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Sales Agreement, dated December 23,</w:t>
            </w: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December 23, 2022</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760" w:type="dxa"/>
            <w:vAlign w:val="bottom"/>
            <w:tcBorders>
              <w:top w:val="single" w:sz="8" w:color="0000FF"/>
            </w:tcBorders>
            <w:gridSpan w:val="35"/>
          </w:tcPr>
          <w:p>
            <w:pPr>
              <w:spacing w:after="0" w:line="187" w:lineRule="exact"/>
              <w:rPr>
                <w:sz w:val="20"/>
                <w:szCs w:val="20"/>
                <w:color w:val="auto"/>
              </w:rPr>
            </w:pPr>
            <w:r>
              <w:rPr>
                <w:rFonts w:ascii="Times New Roman" w:cs="Times New Roman" w:eastAsia="Times New Roman" w:hAnsi="Times New Roman"/>
                <w:sz w:val="18"/>
                <w:szCs w:val="18"/>
                <w:color w:val="0000FF"/>
              </w:rPr>
              <w:t>2022, by and between the Registrant</w:t>
            </w: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700" w:type="dxa"/>
            <w:vAlign w:val="bottom"/>
            <w:tcBorders>
              <w:top w:val="single" w:sz="8" w:color="0000FF"/>
            </w:tcBorders>
            <w:gridSpan w:val="30"/>
          </w:tcPr>
          <w:p>
            <w:pPr>
              <w:spacing w:after="0" w:line="188" w:lineRule="exact"/>
              <w:rPr>
                <w:sz w:val="20"/>
                <w:szCs w:val="20"/>
                <w:color w:val="auto"/>
              </w:rPr>
            </w:pPr>
            <w:r>
              <w:rPr>
                <w:rFonts w:ascii="Times New Roman" w:cs="Times New Roman" w:eastAsia="Times New Roman" w:hAnsi="Times New Roman"/>
                <w:sz w:val="18"/>
                <w:szCs w:val="18"/>
                <w:color w:val="0000FF"/>
              </w:rPr>
              <w:t>and Stifel, Nicolaus &amp; Company,</w:t>
            </w:r>
          </w:p>
        </w:tc>
        <w:tc>
          <w:tcPr>
            <w:tcW w:w="80" w:type="dxa"/>
            <w:vAlign w:val="bottom"/>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420" w:type="dxa"/>
            <w:vAlign w:val="bottom"/>
            <w:tcBorders>
              <w:top w:val="single" w:sz="8" w:color="0000FF"/>
            </w:tcBorders>
            <w:gridSpan w:val="18"/>
          </w:tcPr>
          <w:p>
            <w:pPr>
              <w:spacing w:after="0" w:line="187" w:lineRule="exact"/>
              <w:rPr>
                <w:sz w:val="20"/>
                <w:szCs w:val="20"/>
                <w:color w:val="auto"/>
              </w:rPr>
            </w:pPr>
            <w:r>
              <w:rPr>
                <w:rFonts w:ascii="Times New Roman" w:cs="Times New Roman" w:eastAsia="Times New Roman" w:hAnsi="Times New Roman"/>
                <w:sz w:val="18"/>
                <w:szCs w:val="18"/>
                <w:color w:val="0000FF"/>
              </w:rPr>
              <w:t>Incorporated</w:t>
            </w:r>
          </w:p>
        </w:tc>
        <w:tc>
          <w:tcPr>
            <w:tcW w:w="180" w:type="dxa"/>
            <w:vAlign w:val="bottom"/>
            <w:gridSpan w:val="7"/>
          </w:tcPr>
          <w:p>
            <w:pPr>
              <w:spacing w:after="0"/>
              <w:rPr>
                <w:sz w:val="16"/>
                <w:szCs w:val="16"/>
                <w:color w:val="auto"/>
              </w:rPr>
            </w:pPr>
          </w:p>
        </w:tc>
        <w:tc>
          <w:tcPr>
            <w:tcW w:w="180" w:type="dxa"/>
            <w:vAlign w:val="bottom"/>
            <w:gridSpan w:val="11"/>
          </w:tcPr>
          <w:p>
            <w:pPr>
              <w:spacing w:after="0"/>
              <w:rPr>
                <w:sz w:val="16"/>
                <w:szCs w:val="16"/>
                <w:color w:val="auto"/>
              </w:rPr>
            </w:pPr>
          </w:p>
        </w:tc>
        <w:tc>
          <w:tcPr>
            <w:tcW w:w="1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9"/>
              </w:rPr>
              <w:t>June 26, 2025</w:t>
            </w:r>
          </w:p>
        </w:tc>
        <w:tc>
          <w:tcPr>
            <w:tcW w:w="0" w:type="dxa"/>
            <w:vAlign w:val="bottom"/>
          </w:tcPr>
          <w:p>
            <w:pPr>
              <w:spacing w:after="0" w:line="20" w:lineRule="exact"/>
              <w:rPr>
                <w:sz w:val="1"/>
                <w:szCs w:val="1"/>
                <w:color w:val="auto"/>
              </w:rPr>
            </w:pPr>
          </w:p>
        </w:tc>
      </w:tr>
      <w:tr>
        <w:trPr>
          <w:trHeight w:val="394"/>
        </w:trPr>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10.17†</w:t>
            </w:r>
          </w:p>
        </w:tc>
        <w:tc>
          <w:tcPr>
            <w:tcW w:w="28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Securities Purchase</w:t>
            </w:r>
          </w:p>
        </w:tc>
        <w:tc>
          <w:tcPr>
            <w:tcW w:w="7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2040" w:type="dxa"/>
            <w:vAlign w:val="bottom"/>
            <w:tcBorders>
              <w:top w:val="single" w:sz="8" w:color="0000FF"/>
            </w:tcBorders>
            <w:gridSpan w:val="10"/>
          </w:tcPr>
          <w:p>
            <w:pPr>
              <w:spacing w:after="0" w:line="188" w:lineRule="exact"/>
              <w:rPr>
                <w:sz w:val="20"/>
                <w:szCs w:val="20"/>
                <w:color w:val="auto"/>
              </w:rPr>
            </w:pPr>
            <w:r>
              <w:rPr>
                <w:rFonts w:ascii="Times New Roman" w:cs="Times New Roman" w:eastAsia="Times New Roman" w:hAnsi="Times New Roman"/>
                <w:sz w:val="18"/>
                <w:szCs w:val="18"/>
                <w:color w:val="0000FF"/>
              </w:rPr>
              <w:t>Agreement, dated June 25,</w:t>
            </w:r>
          </w:p>
        </w:tc>
        <w:tc>
          <w:tcPr>
            <w:tcW w:w="840" w:type="dxa"/>
            <w:vAlign w:val="bottom"/>
            <w:gridSpan w:val="28"/>
          </w:tcPr>
          <w:p>
            <w:pPr>
              <w:spacing w:after="0" w:line="188" w:lineRule="exact"/>
              <w:rPr>
                <w:sz w:val="20"/>
                <w:szCs w:val="20"/>
                <w:color w:val="auto"/>
              </w:rPr>
            </w:pPr>
            <w:r>
              <w:rPr>
                <w:rFonts w:ascii="Times New Roman" w:cs="Times New Roman" w:eastAsia="Times New Roman" w:hAnsi="Times New Roman"/>
                <w:sz w:val="18"/>
                <w:szCs w:val="18"/>
                <w:color w:val="0000FF"/>
              </w:rPr>
              <w:t>2025, by</w:t>
            </w: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600" w:type="dxa"/>
            <w:vAlign w:val="bottom"/>
            <w:gridSpan w:val="25"/>
            <w:shd w:val="clear" w:color="auto" w:fill="0000FF"/>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0" w:type="dxa"/>
            <w:vAlign w:val="bottom"/>
          </w:tcPr>
          <w:p>
            <w:pPr>
              <w:spacing w:after="0"/>
              <w:rPr>
                <w:sz w:val="16"/>
                <w:szCs w:val="16"/>
                <w:color w:val="auto"/>
              </w:rPr>
            </w:pPr>
          </w:p>
        </w:tc>
        <w:tc>
          <w:tcPr>
            <w:tcW w:w="2800" w:type="dxa"/>
            <w:vAlign w:val="bottom"/>
            <w:tcBorders>
              <w:bottom w:val="single" w:sz="8" w:color="0000FF"/>
            </w:tcBorders>
            <w:gridSpan w:val="37"/>
          </w:tcPr>
          <w:p>
            <w:pPr>
              <w:spacing w:after="0" w:line="187" w:lineRule="exact"/>
              <w:rPr>
                <w:sz w:val="20"/>
                <w:szCs w:val="20"/>
                <w:color w:val="auto"/>
              </w:rPr>
            </w:pPr>
            <w:r>
              <w:rPr>
                <w:rFonts w:ascii="Times New Roman" w:cs="Times New Roman" w:eastAsia="Times New Roman" w:hAnsi="Times New Roman"/>
                <w:sz w:val="18"/>
                <w:szCs w:val="18"/>
                <w:color w:val="0000FF"/>
                <w:w w:val="99"/>
              </w:rPr>
              <w:t>and between the Registrant and Yantai</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21" w:right="1440" w:bottom="175" w:gutter="0" w:footer="0" w:header="0"/>
        </w:sectPr>
      </w:pPr>
    </w:p>
    <w:bookmarkStart w:id="101" w:name="page102"/>
    <w:bookmarkEnd w:id="101"/>
    <w:p>
      <w:pPr>
        <w:ind w:left="840"/>
        <w:spacing w:after="0"/>
        <w:rPr>
          <w:sz w:val="20"/>
          <w:szCs w:val="20"/>
          <w:color w:val="auto"/>
        </w:rPr>
      </w:pPr>
      <w:r>
        <w:rPr>
          <w:rFonts w:ascii="Times New Roman" w:cs="Times New Roman" w:eastAsia="Times New Roman" w:hAnsi="Times New Roman"/>
          <w:sz w:val="18"/>
          <w:szCs w:val="18"/>
          <w:u w:val="single" w:color="auto"/>
          <w:color w:val="0000FF"/>
        </w:rPr>
        <w:t>Rongpu Investment Partnership</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0000FF"/>
        </w:rPr>
        <w:t>(Limited Partnership)</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w w:val="98"/>
              </w:rPr>
              <w:t>10.18</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Securities Purchase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18"/>
                <w:szCs w:val="18"/>
                <w:color w:val="auto"/>
                <w:w w:val="99"/>
              </w:rPr>
              <w:t>June 26,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040" w:type="dxa"/>
            <w:vAlign w:val="bottom"/>
            <w:tcBorders>
              <w:top w:val="single" w:sz="8" w:color="0000FF"/>
            </w:tcBorders>
            <w:gridSpan w:val="4"/>
          </w:tcPr>
          <w:p>
            <w:pPr>
              <w:spacing w:after="0" w:line="188" w:lineRule="exact"/>
              <w:rPr>
                <w:sz w:val="20"/>
                <w:szCs w:val="20"/>
                <w:color w:val="auto"/>
              </w:rPr>
            </w:pPr>
            <w:r>
              <w:rPr>
                <w:rFonts w:ascii="Times New Roman" w:cs="Times New Roman" w:eastAsia="Times New Roman" w:hAnsi="Times New Roman"/>
                <w:sz w:val="18"/>
                <w:szCs w:val="18"/>
                <w:color w:val="0000FF"/>
              </w:rPr>
              <w:t>Agreement, dated June 25,</w:t>
            </w:r>
          </w:p>
        </w:tc>
        <w:tc>
          <w:tcPr>
            <w:tcW w:w="800" w:type="dxa"/>
            <w:vAlign w:val="bottom"/>
            <w:gridSpan w:val="19"/>
          </w:tcPr>
          <w:p>
            <w:pPr>
              <w:jc w:val="right"/>
              <w:ind w:right="240"/>
              <w:spacing w:after="0" w:line="188" w:lineRule="exact"/>
              <w:rPr>
                <w:sz w:val="20"/>
                <w:szCs w:val="20"/>
                <w:color w:val="auto"/>
              </w:rPr>
            </w:pPr>
            <w:r>
              <w:rPr>
                <w:rFonts w:ascii="Times New Roman" w:cs="Times New Roman" w:eastAsia="Times New Roman" w:hAnsi="Times New Roman"/>
                <w:sz w:val="18"/>
                <w:szCs w:val="18"/>
                <w:color w:val="0000FF"/>
                <w:w w:val="85"/>
              </w:rPr>
              <w:t>2025, by</w:t>
            </w: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660" w:type="dxa"/>
            <w:vAlign w:val="bottom"/>
            <w:tcBorders>
              <w:top w:val="single" w:sz="8" w:color="0000FF"/>
            </w:tcBorders>
            <w:gridSpan w:val="17"/>
          </w:tcPr>
          <w:p>
            <w:pPr>
              <w:spacing w:after="0" w:line="187" w:lineRule="exact"/>
              <w:rPr>
                <w:sz w:val="20"/>
                <w:szCs w:val="20"/>
                <w:color w:val="auto"/>
              </w:rPr>
            </w:pPr>
            <w:r>
              <w:rPr>
                <w:rFonts w:ascii="Times New Roman" w:cs="Times New Roman" w:eastAsia="Times New Roman" w:hAnsi="Times New Roman"/>
                <w:sz w:val="18"/>
                <w:szCs w:val="18"/>
                <w:color w:val="0000FF"/>
              </w:rPr>
              <w:t>and between the Registrant and the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80" w:type="dxa"/>
            <w:vAlign w:val="bottom"/>
            <w:tcBorders>
              <w:top w:val="single" w:sz="8" w:color="0000FF"/>
            </w:tcBorders>
            <w:gridSpan w:val="13"/>
          </w:tcPr>
          <w:p>
            <w:pPr>
              <w:spacing w:after="0" w:line="188" w:lineRule="exact"/>
              <w:rPr>
                <w:sz w:val="20"/>
                <w:szCs w:val="20"/>
                <w:color w:val="auto"/>
              </w:rPr>
            </w:pPr>
            <w:r>
              <w:rPr>
                <w:rFonts w:ascii="Times New Roman" w:cs="Times New Roman" w:eastAsia="Times New Roman" w:hAnsi="Times New Roman"/>
                <w:sz w:val="18"/>
                <w:szCs w:val="18"/>
                <w:color w:val="0000FF"/>
              </w:rPr>
              <w:t>investors named therein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w w:val="88"/>
              </w:rPr>
              <w:t>10. 19</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Securities Purchase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18"/>
                <w:szCs w:val="18"/>
                <w:color w:val="auto"/>
                <w:w w:val="98"/>
              </w:rPr>
              <w:t>December 18,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040" w:type="dxa"/>
            <w:vAlign w:val="bottom"/>
            <w:tcBorders>
              <w:top w:val="single" w:sz="8" w:color="0000FF"/>
            </w:tcBorders>
            <w:gridSpan w:val="4"/>
          </w:tcPr>
          <w:p>
            <w:pPr>
              <w:spacing w:after="0" w:line="188" w:lineRule="exact"/>
              <w:rPr>
                <w:sz w:val="20"/>
                <w:szCs w:val="20"/>
                <w:color w:val="auto"/>
              </w:rPr>
            </w:pPr>
            <w:r>
              <w:rPr>
                <w:rFonts w:ascii="Times New Roman" w:cs="Times New Roman" w:eastAsia="Times New Roman" w:hAnsi="Times New Roman"/>
                <w:sz w:val="18"/>
                <w:szCs w:val="18"/>
                <w:color w:val="0000FF"/>
                <w:w w:val="97"/>
              </w:rPr>
              <w:t>Agreement, dated December</w:t>
            </w:r>
          </w:p>
        </w:tc>
        <w:tc>
          <w:tcPr>
            <w:tcW w:w="760" w:type="dxa"/>
            <w:vAlign w:val="bottom"/>
            <w:gridSpan w:val="17"/>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15, 2025,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780" w:type="dxa"/>
            <w:vAlign w:val="bottom"/>
            <w:tcBorders>
              <w:top w:val="single" w:sz="8" w:color="0000FF"/>
            </w:tcBorders>
            <w:gridSpan w:val="20"/>
          </w:tcPr>
          <w:p>
            <w:pPr>
              <w:spacing w:after="0" w:line="187" w:lineRule="exact"/>
              <w:rPr>
                <w:sz w:val="20"/>
                <w:szCs w:val="20"/>
                <w:color w:val="auto"/>
              </w:rPr>
            </w:pPr>
            <w:r>
              <w:rPr>
                <w:rFonts w:ascii="Times New Roman" w:cs="Times New Roman" w:eastAsia="Times New Roman" w:hAnsi="Times New Roman"/>
                <w:sz w:val="18"/>
                <w:szCs w:val="18"/>
                <w:color w:val="0000FF"/>
              </w:rPr>
              <w:t>by and between the Registrant and the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760" w:type="dxa"/>
            <w:vAlign w:val="bottom"/>
            <w:tcBorders>
              <w:top w:val="single" w:sz="8" w:color="0000FF"/>
            </w:tcBorders>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investors named therein</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w w:val="88"/>
              </w:rPr>
              <w:t>10. 20</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Registration Rights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18"/>
                <w:szCs w:val="18"/>
                <w:color w:val="auto"/>
                <w:w w:val="99"/>
              </w:rPr>
              <w:t>June 26,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020" w:type="dxa"/>
            <w:vAlign w:val="bottom"/>
            <w:tcBorders>
              <w:top w:val="single" w:sz="8" w:color="0000FF"/>
            </w:tcBorders>
            <w:gridSpan w:val="3"/>
          </w:tcPr>
          <w:p>
            <w:pPr>
              <w:spacing w:after="0" w:line="188" w:lineRule="exact"/>
              <w:rPr>
                <w:sz w:val="20"/>
                <w:szCs w:val="20"/>
                <w:color w:val="auto"/>
              </w:rPr>
            </w:pPr>
            <w:r>
              <w:rPr>
                <w:rFonts w:ascii="Times New Roman" w:cs="Times New Roman" w:eastAsia="Times New Roman" w:hAnsi="Times New Roman"/>
                <w:sz w:val="18"/>
                <w:szCs w:val="18"/>
                <w:color w:val="0000FF"/>
              </w:rPr>
              <w:t>Agreement, dated June 25,</w:t>
            </w:r>
          </w:p>
        </w:tc>
        <w:tc>
          <w:tcPr>
            <w:tcW w:w="820" w:type="dxa"/>
            <w:vAlign w:val="bottom"/>
            <w:gridSpan w:val="20"/>
          </w:tcPr>
          <w:p>
            <w:pPr>
              <w:jc w:val="right"/>
              <w:ind w:right="240"/>
              <w:spacing w:after="0" w:line="188" w:lineRule="exact"/>
              <w:rPr>
                <w:sz w:val="20"/>
                <w:szCs w:val="20"/>
                <w:color w:val="auto"/>
              </w:rPr>
            </w:pPr>
            <w:r>
              <w:rPr>
                <w:rFonts w:ascii="Times New Roman" w:cs="Times New Roman" w:eastAsia="Times New Roman" w:hAnsi="Times New Roman"/>
                <w:sz w:val="18"/>
                <w:szCs w:val="18"/>
                <w:color w:val="0000FF"/>
                <w:w w:val="88"/>
              </w:rPr>
              <w:t>2025, by</w:t>
            </w: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660" w:type="dxa"/>
            <w:vAlign w:val="bottom"/>
            <w:tcBorders>
              <w:top w:val="single" w:sz="8" w:color="0000FF"/>
            </w:tcBorders>
            <w:gridSpan w:val="17"/>
          </w:tcPr>
          <w:p>
            <w:pPr>
              <w:spacing w:after="0" w:line="187" w:lineRule="exact"/>
              <w:rPr>
                <w:sz w:val="20"/>
                <w:szCs w:val="20"/>
                <w:color w:val="auto"/>
              </w:rPr>
            </w:pPr>
            <w:r>
              <w:rPr>
                <w:rFonts w:ascii="Times New Roman" w:cs="Times New Roman" w:eastAsia="Times New Roman" w:hAnsi="Times New Roman"/>
                <w:sz w:val="18"/>
                <w:szCs w:val="18"/>
                <w:color w:val="0000FF"/>
              </w:rPr>
              <w:t>and between the Registrant and the</w:t>
            </w:r>
          </w:p>
        </w:tc>
        <w:tc>
          <w:tcPr>
            <w:tcW w:w="6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80" w:type="dxa"/>
            <w:vAlign w:val="bottom"/>
            <w:tcBorders>
              <w:top w:val="single" w:sz="8" w:color="0000FF"/>
            </w:tcBorders>
            <w:gridSpan w:val="13"/>
          </w:tcPr>
          <w:p>
            <w:pPr>
              <w:spacing w:after="0" w:line="188" w:lineRule="exact"/>
              <w:rPr>
                <w:sz w:val="20"/>
                <w:szCs w:val="20"/>
                <w:color w:val="auto"/>
              </w:rPr>
            </w:pPr>
            <w:r>
              <w:rPr>
                <w:rFonts w:ascii="Times New Roman" w:cs="Times New Roman" w:eastAsia="Times New Roman" w:hAnsi="Times New Roman"/>
                <w:sz w:val="18"/>
                <w:szCs w:val="18"/>
                <w:color w:val="0000FF"/>
              </w:rPr>
              <w:t>investors named therein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w w:val="88"/>
              </w:rPr>
              <w:t>10. 21</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Registration Rights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18"/>
                <w:szCs w:val="18"/>
                <w:color w:val="auto"/>
                <w:w w:val="98"/>
              </w:rPr>
              <w:t>December 18,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020" w:type="dxa"/>
            <w:vAlign w:val="bottom"/>
            <w:tcBorders>
              <w:top w:val="single" w:sz="8" w:color="0000FF"/>
            </w:tcBorders>
            <w:gridSpan w:val="3"/>
          </w:tcPr>
          <w:p>
            <w:pPr>
              <w:spacing w:after="0" w:line="188" w:lineRule="exact"/>
              <w:rPr>
                <w:sz w:val="20"/>
                <w:szCs w:val="20"/>
                <w:color w:val="auto"/>
              </w:rPr>
            </w:pPr>
            <w:r>
              <w:rPr>
                <w:rFonts w:ascii="Times New Roman" w:cs="Times New Roman" w:eastAsia="Times New Roman" w:hAnsi="Times New Roman"/>
                <w:sz w:val="18"/>
                <w:szCs w:val="18"/>
                <w:color w:val="0000FF"/>
                <w:w w:val="96"/>
              </w:rPr>
              <w:t>Agreement, dated December</w:t>
            </w:r>
          </w:p>
        </w:tc>
        <w:tc>
          <w:tcPr>
            <w:tcW w:w="780" w:type="dxa"/>
            <w:vAlign w:val="bottom"/>
            <w:gridSpan w:val="18"/>
          </w:tcPr>
          <w:p>
            <w:pPr>
              <w:jc w:val="right"/>
              <w:ind w:right="20"/>
              <w:spacing w:after="0" w:line="188" w:lineRule="exact"/>
              <w:rPr>
                <w:sz w:val="20"/>
                <w:szCs w:val="20"/>
                <w:color w:val="auto"/>
              </w:rPr>
            </w:pPr>
            <w:r>
              <w:rPr>
                <w:rFonts w:ascii="Times New Roman" w:cs="Times New Roman" w:eastAsia="Times New Roman" w:hAnsi="Times New Roman"/>
                <w:sz w:val="18"/>
                <w:szCs w:val="18"/>
                <w:color w:val="0000FF"/>
              </w:rPr>
              <w:t>15, 2025,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780" w:type="dxa"/>
            <w:vAlign w:val="bottom"/>
            <w:tcBorders>
              <w:top w:val="single" w:sz="8" w:color="0000FF"/>
            </w:tcBorders>
            <w:gridSpan w:val="20"/>
          </w:tcPr>
          <w:p>
            <w:pPr>
              <w:spacing w:after="0" w:line="187" w:lineRule="exact"/>
              <w:rPr>
                <w:sz w:val="20"/>
                <w:szCs w:val="20"/>
                <w:color w:val="auto"/>
              </w:rPr>
            </w:pPr>
            <w:r>
              <w:rPr>
                <w:rFonts w:ascii="Times New Roman" w:cs="Times New Roman" w:eastAsia="Times New Roman" w:hAnsi="Times New Roman"/>
                <w:sz w:val="18"/>
                <w:szCs w:val="18"/>
                <w:color w:val="0000FF"/>
              </w:rPr>
              <w:t>by and between the Registrant and the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760" w:type="dxa"/>
            <w:vAlign w:val="bottom"/>
            <w:tcBorders>
              <w:top w:val="single" w:sz="8" w:color="0000FF"/>
            </w:tcBorders>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investors named therein</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w w:val="88"/>
              </w:rPr>
              <w:t>10. 22</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Support Agreement, dated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18"/>
                <w:szCs w:val="18"/>
                <w:color w:val="auto"/>
                <w:w w:val="99"/>
              </w:rPr>
              <w:t>June 26,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80" w:type="dxa"/>
            <w:vAlign w:val="bottom"/>
            <w:tcBorders>
              <w:top w:val="single" w:sz="8" w:color="0000FF"/>
            </w:tcBorders>
            <w:gridSpan w:val="13"/>
          </w:tcPr>
          <w:p>
            <w:pPr>
              <w:spacing w:after="0" w:line="188" w:lineRule="exact"/>
              <w:rPr>
                <w:sz w:val="20"/>
                <w:szCs w:val="20"/>
                <w:color w:val="auto"/>
              </w:rPr>
            </w:pPr>
            <w:r>
              <w:rPr>
                <w:rFonts w:ascii="Times New Roman" w:cs="Times New Roman" w:eastAsia="Times New Roman" w:hAnsi="Times New Roman"/>
                <w:sz w:val="18"/>
                <w:szCs w:val="18"/>
                <w:color w:val="0000FF"/>
              </w:rPr>
              <w:t>June 25, 2025, by and between the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520" w:type="dxa"/>
            <w:vAlign w:val="bottom"/>
            <w:tcBorders>
              <w:top w:val="single" w:sz="8" w:color="0000FF"/>
              <w:bottom w:val="single" w:sz="8" w:color="0000FF"/>
            </w:tcBorders>
            <w:gridSpan w:val="10"/>
          </w:tcPr>
          <w:p>
            <w:pPr>
              <w:spacing w:after="0" w:line="187" w:lineRule="exact"/>
              <w:rPr>
                <w:sz w:val="20"/>
                <w:szCs w:val="20"/>
                <w:color w:val="auto"/>
              </w:rPr>
            </w:pPr>
            <w:r>
              <w:rPr>
                <w:rFonts w:ascii="Times New Roman" w:cs="Times New Roman" w:eastAsia="Times New Roman" w:hAnsi="Times New Roman"/>
                <w:sz w:val="18"/>
                <w:szCs w:val="18"/>
                <w:color w:val="0000FF"/>
                <w:w w:val="98"/>
              </w:rPr>
              <w:t>Registrant and the investors named</w:t>
            </w: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 w:type="dxa"/>
            <w:vAlign w:val="bottom"/>
            <w:tcBorders>
              <w:bottom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600" w:type="dxa"/>
            <w:vAlign w:val="bottom"/>
            <w:gridSpan w:val="14"/>
          </w:tcPr>
          <w:p>
            <w:pPr>
              <w:spacing w:after="0" w:line="188" w:lineRule="exact"/>
              <w:rPr>
                <w:sz w:val="20"/>
                <w:szCs w:val="20"/>
                <w:color w:val="auto"/>
              </w:rPr>
            </w:pPr>
            <w:r>
              <w:rPr>
                <w:rFonts w:ascii="Times New Roman" w:cs="Times New Roman" w:eastAsia="Times New Roman" w:hAnsi="Times New Roman"/>
                <w:sz w:val="18"/>
                <w:szCs w:val="18"/>
                <w:color w:val="0000FF"/>
              </w:rPr>
              <w:t>therein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rPr>
              <w:t>19.1</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Insider Trading and Window Period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660" w:type="dxa"/>
            <w:vAlign w:val="bottom"/>
            <w:tcBorders>
              <w:top w:val="single" w:sz="8" w:color="0000FF"/>
            </w:tcBorders>
            <w:gridSpan w:val="17"/>
          </w:tcPr>
          <w:p>
            <w:pPr>
              <w:spacing w:after="0" w:line="188" w:lineRule="exact"/>
              <w:rPr>
                <w:sz w:val="20"/>
                <w:szCs w:val="20"/>
                <w:color w:val="auto"/>
              </w:rPr>
            </w:pPr>
            <w:r>
              <w:rPr>
                <w:rFonts w:ascii="Times New Roman" w:cs="Times New Roman" w:eastAsia="Times New Roman" w:hAnsi="Times New Roman"/>
                <w:sz w:val="18"/>
                <w:szCs w:val="18"/>
                <w:color w:val="0000FF"/>
              </w:rPr>
              <w:t>Policy</w:t>
            </w:r>
          </w:p>
        </w:tc>
        <w:tc>
          <w:tcPr>
            <w:tcW w:w="6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333-252175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380" w:type="dxa"/>
            <w:vAlign w:val="bottom"/>
            <w:vMerge w:val="restart"/>
          </w:tcPr>
          <w:p>
            <w:pPr>
              <w:jc w:val="center"/>
              <w:ind w:right="489"/>
              <w:spacing w:after="0"/>
              <w:rPr>
                <w:sz w:val="20"/>
                <w:szCs w:val="20"/>
                <w:color w:val="auto"/>
              </w:rPr>
            </w:pPr>
            <w:r>
              <w:rPr>
                <w:rFonts w:ascii="Times New Roman" w:cs="Times New Roman" w:eastAsia="Times New Roman" w:hAnsi="Times New Roman"/>
                <w:sz w:val="18"/>
                <w:szCs w:val="18"/>
                <w:color w:val="auto"/>
              </w:rPr>
              <w:t>January 15, 2021</w:t>
            </w:r>
          </w:p>
        </w:tc>
        <w:tc>
          <w:tcPr>
            <w:tcW w:w="0" w:type="dxa"/>
            <w:vAlign w:val="bottom"/>
          </w:tcPr>
          <w:p>
            <w:pPr>
              <w:spacing w:after="0" w:line="20" w:lineRule="exact"/>
              <w:rPr>
                <w:sz w:val="1"/>
                <w:szCs w:val="1"/>
                <w:color w:val="auto"/>
              </w:rPr>
            </w:pPr>
          </w:p>
        </w:tc>
      </w:tr>
      <w:tr>
        <w:trPr>
          <w:trHeight w:val="393"/>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rPr>
              <w:t>21.1</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7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rPr>
              <w:t>23.1</w:t>
            </w:r>
          </w:p>
        </w:tc>
        <w:tc>
          <w:tcPr>
            <w:tcW w:w="2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w:t>
            </w:r>
          </w:p>
        </w:tc>
        <w:tc>
          <w:tcPr>
            <w:tcW w:w="540" w:type="dxa"/>
            <w:vAlign w:val="bottom"/>
            <w:gridSpan w:val="15"/>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7"/>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rPr>
              <w:t>31.1</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620" w:type="dxa"/>
            <w:vAlign w:val="bottom"/>
            <w:tcBorders>
              <w:top w:val="single" w:sz="8" w:color="0000FF"/>
              <w:bottom w:val="single" w:sz="8" w:color="0000FF"/>
            </w:tcBorders>
            <w:gridSpan w:val="15"/>
          </w:tcPr>
          <w:p>
            <w:pPr>
              <w:spacing w:after="0" w:line="187" w:lineRule="exact"/>
              <w:rPr>
                <w:sz w:val="20"/>
                <w:szCs w:val="20"/>
                <w:color w:val="auto"/>
              </w:rPr>
            </w:pPr>
            <w:r>
              <w:rPr>
                <w:rFonts w:ascii="Times New Roman" w:cs="Times New Roman" w:eastAsia="Times New Roman" w:hAnsi="Times New Roman"/>
                <w:sz w:val="18"/>
                <w:szCs w:val="18"/>
                <w:color w:val="0000FF"/>
              </w:rPr>
              <w:t>Officer Pursuant to Rules 13a-14(a)</w:t>
            </w:r>
          </w:p>
        </w:tc>
        <w:tc>
          <w:tcPr>
            <w:tcW w:w="20" w:type="dxa"/>
            <w:vAlign w:val="bottom"/>
            <w:tcBorders>
              <w:bottom w:val="single" w:sz="8" w:color="0000FF"/>
            </w:tcBorders>
          </w:tcPr>
          <w:p>
            <w:pPr>
              <w:spacing w:after="0"/>
              <w:rPr>
                <w:sz w:val="16"/>
                <w:szCs w:val="16"/>
                <w:color w:val="auto"/>
              </w:rPr>
            </w:pP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640" w:type="dxa"/>
            <w:vAlign w:val="bottom"/>
            <w:gridSpan w:val="16"/>
          </w:tcPr>
          <w:p>
            <w:pPr>
              <w:spacing w:after="0" w:line="188" w:lineRule="exact"/>
              <w:rPr>
                <w:sz w:val="20"/>
                <w:szCs w:val="20"/>
                <w:color w:val="auto"/>
              </w:rPr>
            </w:pPr>
            <w:r>
              <w:rPr>
                <w:rFonts w:ascii="Times New Roman" w:cs="Times New Roman" w:eastAsia="Times New Roman" w:hAnsi="Times New Roman"/>
                <w:sz w:val="18"/>
                <w:szCs w:val="18"/>
                <w:color w:val="0000FF"/>
              </w:rPr>
              <w:t>and 15d-14(a) under the Securities</w:t>
            </w: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9"/>
          </w:tcPr>
          <w:p>
            <w:pPr>
              <w:spacing w:after="0" w:line="187" w:lineRule="exact"/>
              <w:rPr>
                <w:sz w:val="20"/>
                <w:szCs w:val="20"/>
                <w:color w:val="auto"/>
              </w:rPr>
            </w:pPr>
            <w:r>
              <w:rPr>
                <w:rFonts w:ascii="Times New Roman" w:cs="Times New Roman" w:eastAsia="Times New Roman" w:hAnsi="Times New Roman"/>
                <w:sz w:val="18"/>
                <w:szCs w:val="18"/>
                <w:color w:val="0000FF"/>
                <w:w w:val="98"/>
              </w:rPr>
              <w:t>Exchange Act of 1934, as Adopted</w:t>
            </w:r>
          </w:p>
        </w:tc>
        <w:tc>
          <w:tcPr>
            <w:tcW w:w="40" w:type="dxa"/>
            <w:vAlign w:val="bottom"/>
            <w:tcBorders>
              <w:bottom w:val="single" w:sz="8" w:color="0000FF"/>
            </w:tcBorders>
            <w:gridSpan w:val="2"/>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160" w:type="dxa"/>
            <w:vAlign w:val="bottom"/>
            <w:gridSpan w:val="6"/>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60" w:type="dxa"/>
            <w:vAlign w:val="bottom"/>
            <w:gridSpan w:val="12"/>
          </w:tcPr>
          <w:p>
            <w:pPr>
              <w:spacing w:after="0" w:line="188" w:lineRule="exact"/>
              <w:rPr>
                <w:sz w:val="20"/>
                <w:szCs w:val="20"/>
                <w:color w:val="auto"/>
              </w:rPr>
            </w:pPr>
            <w:r>
              <w:rPr>
                <w:rFonts w:ascii="Times New Roman" w:cs="Times New Roman" w:eastAsia="Times New Roman" w:hAnsi="Times New Roman"/>
                <w:sz w:val="18"/>
                <w:szCs w:val="18"/>
                <w:color w:val="0000FF"/>
              </w:rPr>
              <w:t>Pursuant to Section 302 of the</w:t>
            </w:r>
          </w:p>
        </w:tc>
        <w:tc>
          <w:tcPr>
            <w:tcW w:w="160" w:type="dxa"/>
            <w:vAlign w:val="bottom"/>
            <w:gridSpan w:val="6"/>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120" w:type="dxa"/>
            <w:vAlign w:val="bottom"/>
            <w:tcBorders>
              <w:top w:val="single" w:sz="8" w:color="0000FF"/>
              <w:bottom w:val="single" w:sz="8" w:color="0000FF"/>
            </w:tcBorders>
            <w:gridSpan w:val="6"/>
          </w:tcPr>
          <w:p>
            <w:pPr>
              <w:spacing w:after="0" w:line="187"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 w:type="dxa"/>
            <w:vAlign w:val="bottom"/>
            <w:tcBorders>
              <w:top w:val="single" w:sz="8" w:color="0000FF"/>
            </w:tcBorders>
          </w:tcPr>
          <w:p>
            <w:pPr>
              <w:spacing w:after="0"/>
              <w:rPr>
                <w:sz w:val="16"/>
                <w:szCs w:val="16"/>
                <w:color w:val="auto"/>
              </w:rPr>
            </w:pPr>
          </w:p>
        </w:tc>
        <w:tc>
          <w:tcPr>
            <w:tcW w:w="360" w:type="dxa"/>
            <w:vAlign w:val="bottom"/>
            <w:gridSpan w:val="4"/>
          </w:tcPr>
          <w:p>
            <w:pPr>
              <w:spacing w:after="0"/>
              <w:rPr>
                <w:sz w:val="16"/>
                <w:szCs w:val="16"/>
                <w:color w:val="auto"/>
              </w:rPr>
            </w:pPr>
          </w:p>
        </w:tc>
        <w:tc>
          <w:tcPr>
            <w:tcW w:w="180" w:type="dxa"/>
            <w:vAlign w:val="bottom"/>
            <w:gridSpan w:val="7"/>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rPr>
              <w:t>31.2</w:t>
            </w:r>
          </w:p>
        </w:tc>
        <w:tc>
          <w:tcPr>
            <w:tcW w:w="28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40" w:type="dxa"/>
            <w:vAlign w:val="bottom"/>
            <w:tcBorders>
              <w:top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color w:val="0000FF"/>
                <w:w w:val="97"/>
              </w:rPr>
              <w:t>Officer Pursuant to Rules 13a-14(a)</w:t>
            </w:r>
          </w:p>
        </w:tc>
        <w:tc>
          <w:tcPr>
            <w:tcW w:w="180" w:type="dxa"/>
            <w:vAlign w:val="bottom"/>
            <w:gridSpan w:val="7"/>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640" w:type="dxa"/>
            <w:vAlign w:val="bottom"/>
            <w:tcBorders>
              <w:top w:val="single" w:sz="8" w:color="0000FF"/>
            </w:tcBorders>
            <w:gridSpan w:val="16"/>
          </w:tcPr>
          <w:p>
            <w:pPr>
              <w:spacing w:after="0" w:line="187" w:lineRule="exact"/>
              <w:rPr>
                <w:sz w:val="20"/>
                <w:szCs w:val="20"/>
                <w:color w:val="auto"/>
              </w:rPr>
            </w:pPr>
            <w:r>
              <w:rPr>
                <w:rFonts w:ascii="Times New Roman" w:cs="Times New Roman" w:eastAsia="Times New Roman" w:hAnsi="Times New Roman"/>
                <w:sz w:val="18"/>
                <w:szCs w:val="18"/>
                <w:color w:val="0000FF"/>
              </w:rPr>
              <w:t>and 15d-14(a) under the Securities</w:t>
            </w:r>
          </w:p>
        </w:tc>
        <w:tc>
          <w:tcPr>
            <w:tcW w:w="80" w:type="dxa"/>
            <w:vAlign w:val="bottom"/>
            <w:gridSpan w:val="2"/>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00" w:type="dxa"/>
            <w:vAlign w:val="bottom"/>
            <w:tcBorders>
              <w:top w:val="single" w:sz="8" w:color="0000FF"/>
            </w:tcBorders>
            <w:gridSpan w:val="9"/>
          </w:tcPr>
          <w:p>
            <w:pPr>
              <w:spacing w:after="0" w:line="188" w:lineRule="exact"/>
              <w:rPr>
                <w:sz w:val="20"/>
                <w:szCs w:val="20"/>
                <w:color w:val="auto"/>
              </w:rPr>
            </w:pPr>
            <w:r>
              <w:rPr>
                <w:rFonts w:ascii="Times New Roman" w:cs="Times New Roman" w:eastAsia="Times New Roman" w:hAnsi="Times New Roman"/>
                <w:sz w:val="18"/>
                <w:szCs w:val="18"/>
                <w:color w:val="0000FF"/>
                <w:w w:val="98"/>
              </w:rPr>
              <w:t>Exchange Act of 1934, as Adopted</w:t>
            </w:r>
          </w:p>
        </w:tc>
        <w:tc>
          <w:tcPr>
            <w:tcW w:w="220" w:type="dxa"/>
            <w:vAlign w:val="bottom"/>
            <w:gridSpan w:val="9"/>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560" w:type="dxa"/>
            <w:vAlign w:val="bottom"/>
            <w:tcBorders>
              <w:top w:val="single" w:sz="8" w:color="0000FF"/>
            </w:tcBorders>
            <w:gridSpan w:val="12"/>
          </w:tcPr>
          <w:p>
            <w:pPr>
              <w:spacing w:after="0" w:line="187" w:lineRule="exact"/>
              <w:rPr>
                <w:sz w:val="20"/>
                <w:szCs w:val="20"/>
                <w:color w:val="auto"/>
              </w:rPr>
            </w:pPr>
            <w:r>
              <w:rPr>
                <w:rFonts w:ascii="Times New Roman" w:cs="Times New Roman" w:eastAsia="Times New Roman" w:hAnsi="Times New Roman"/>
                <w:sz w:val="18"/>
                <w:szCs w:val="18"/>
                <w:color w:val="0000FF"/>
              </w:rPr>
              <w:t>Pursuant to Section 302 of the</w:t>
            </w:r>
          </w:p>
        </w:tc>
        <w:tc>
          <w:tcPr>
            <w:tcW w:w="160" w:type="dxa"/>
            <w:vAlign w:val="bottom"/>
            <w:gridSpan w:val="6"/>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060" w:type="dxa"/>
            <w:vAlign w:val="bottom"/>
            <w:tcBorders>
              <w:top w:val="single" w:sz="8" w:color="0000FF"/>
              <w:bottom w:val="single" w:sz="8" w:color="0000FF"/>
            </w:tcBorders>
            <w:gridSpan w:val="5"/>
          </w:tcPr>
          <w:p>
            <w:pPr>
              <w:spacing w:after="0" w:line="188"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20" w:type="dxa"/>
            <w:vAlign w:val="bottom"/>
            <w:tcBorders>
              <w:top w:val="single" w:sz="8" w:color="0000FF"/>
            </w:tcBorders>
            <w:gridSpan w:val="2"/>
          </w:tcPr>
          <w:p>
            <w:pPr>
              <w:spacing w:after="0"/>
              <w:rPr>
                <w:sz w:val="16"/>
                <w:szCs w:val="16"/>
                <w:color w:val="auto"/>
              </w:rPr>
            </w:pPr>
          </w:p>
        </w:tc>
        <w:tc>
          <w:tcPr>
            <w:tcW w:w="540" w:type="dxa"/>
            <w:vAlign w:val="bottom"/>
            <w:gridSpan w:val="11"/>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60" w:type="dxa"/>
            <w:vAlign w:val="bottom"/>
          </w:tcPr>
          <w:p>
            <w:pPr>
              <w:jc w:val="center"/>
              <w:ind w:right="169"/>
              <w:spacing w:after="0"/>
              <w:rPr>
                <w:sz w:val="20"/>
                <w:szCs w:val="20"/>
                <w:color w:val="auto"/>
              </w:rPr>
            </w:pPr>
            <w:r>
              <w:rPr>
                <w:rFonts w:ascii="Times New Roman" w:cs="Times New Roman" w:eastAsia="Times New Roman" w:hAnsi="Times New Roman"/>
                <w:sz w:val="18"/>
                <w:szCs w:val="18"/>
                <w:color w:val="auto"/>
                <w:w w:val="88"/>
              </w:rPr>
              <w:t>32. 1*</w:t>
            </w:r>
          </w:p>
        </w:tc>
        <w:tc>
          <w:tcPr>
            <w:tcW w:w="2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w:t>
            </w:r>
          </w:p>
        </w:tc>
        <w:tc>
          <w:tcPr>
            <w:tcW w:w="22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840" w:type="dxa"/>
            <w:vAlign w:val="bottom"/>
            <w:tcBorders>
              <w:bottom w:val="single" w:sz="8" w:color="0000FF"/>
            </w:tcBorders>
            <w:gridSpan w:val="23"/>
          </w:tcPr>
          <w:p>
            <w:pPr>
              <w:spacing w:after="0" w:line="188" w:lineRule="exact"/>
              <w:rPr>
                <w:sz w:val="20"/>
                <w:szCs w:val="20"/>
                <w:color w:val="auto"/>
              </w:rPr>
            </w:pPr>
            <w:r>
              <w:rPr>
                <w:rFonts w:ascii="Times New Roman" w:cs="Times New Roman" w:eastAsia="Times New Roman" w:hAnsi="Times New Roman"/>
                <w:sz w:val="18"/>
                <w:szCs w:val="18"/>
                <w:color w:val="0000FF"/>
              </w:rPr>
              <w:t>Officer and Principal Financial Officer</w:t>
            </w: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840" w:type="dxa"/>
            <w:vAlign w:val="bottom"/>
            <w:gridSpan w:val="23"/>
          </w:tcPr>
          <w:p>
            <w:pPr>
              <w:spacing w:after="0" w:line="187" w:lineRule="exact"/>
              <w:rPr>
                <w:sz w:val="20"/>
                <w:szCs w:val="20"/>
                <w:color w:val="auto"/>
              </w:rPr>
            </w:pPr>
            <w:r>
              <w:rPr>
                <w:rFonts w:ascii="Times New Roman" w:cs="Times New Roman" w:eastAsia="Times New Roman" w:hAnsi="Times New Roman"/>
                <w:sz w:val="18"/>
                <w:szCs w:val="18"/>
                <w:color w:val="0000FF"/>
              </w:rPr>
              <w:t>pursuant to 18 U.S.C. Section 1350, as</w:t>
            </w: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820" w:type="dxa"/>
            <w:vAlign w:val="bottom"/>
            <w:tcBorders>
              <w:top w:val="single" w:sz="8" w:color="0000FF"/>
            </w:tcBorders>
            <w:gridSpan w:val="22"/>
          </w:tcPr>
          <w:p>
            <w:pPr>
              <w:spacing w:after="0" w:line="188" w:lineRule="exact"/>
              <w:rPr>
                <w:sz w:val="20"/>
                <w:szCs w:val="20"/>
                <w:color w:val="auto"/>
              </w:rPr>
            </w:pPr>
            <w:r>
              <w:rPr>
                <w:rFonts w:ascii="Times New Roman" w:cs="Times New Roman" w:eastAsia="Times New Roman" w:hAnsi="Times New Roman"/>
                <w:sz w:val="18"/>
                <w:szCs w:val="18"/>
                <w:color w:val="0000FF"/>
              </w:rPr>
              <w:t>adopted Pursuant to Section 906 of the</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2120" w:type="dxa"/>
            <w:vAlign w:val="bottom"/>
            <w:tcBorders>
              <w:top w:val="single" w:sz="8" w:color="0000FF"/>
              <w:bottom w:val="single" w:sz="8" w:color="0000FF"/>
            </w:tcBorders>
            <w:gridSpan w:val="6"/>
          </w:tcPr>
          <w:p>
            <w:pPr>
              <w:spacing w:after="0" w:line="187"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80" w:type="dxa"/>
            <w:vAlign w:val="bottom"/>
            <w:tcBorders>
              <w:top w:val="single" w:sz="8" w:color="0000FF"/>
            </w:tcBorders>
            <w:gridSpan w:val="15"/>
          </w:tcPr>
          <w:p>
            <w:pPr>
              <w:spacing w:after="0"/>
              <w:rPr>
                <w:sz w:val="16"/>
                <w:szCs w:val="16"/>
                <w:color w:val="auto"/>
              </w:rPr>
            </w:pPr>
          </w:p>
        </w:tc>
        <w:tc>
          <w:tcPr>
            <w:tcW w:w="4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660" w:type="dxa"/>
            <w:vAlign w:val="bottom"/>
          </w:tcPr>
          <w:p>
            <w:pPr>
              <w:jc w:val="center"/>
              <w:ind w:right="189"/>
              <w:spacing w:after="0"/>
              <w:rPr>
                <w:sz w:val="20"/>
                <w:szCs w:val="20"/>
                <w:color w:val="auto"/>
              </w:rPr>
            </w:pPr>
            <w:r>
              <w:rPr>
                <w:rFonts w:ascii="Times New Roman" w:cs="Times New Roman" w:eastAsia="Times New Roman" w:hAnsi="Times New Roman"/>
                <w:sz w:val="20"/>
                <w:szCs w:val="20"/>
                <w:color w:val="auto"/>
                <w:w w:val="97"/>
              </w:rPr>
              <w:t>97.1</w:t>
            </w:r>
          </w:p>
        </w:tc>
        <w:tc>
          <w:tcPr>
            <w:tcW w:w="2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Incentive Compensation Recoupment</w:t>
            </w:r>
          </w:p>
        </w:tc>
        <w:tc>
          <w:tcPr>
            <w:tcW w:w="12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001-39979</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97.1</w:t>
            </w:r>
          </w:p>
        </w:tc>
        <w:tc>
          <w:tcPr>
            <w:tcW w:w="2380" w:type="dxa"/>
            <w:vAlign w:val="bottom"/>
          </w:tcPr>
          <w:p>
            <w:pPr>
              <w:jc w:val="center"/>
              <w:ind w:right="489"/>
              <w:spacing w:after="0"/>
              <w:rPr>
                <w:sz w:val="20"/>
                <w:szCs w:val="20"/>
                <w:color w:val="auto"/>
              </w:rPr>
            </w:pPr>
            <w:r>
              <w:rPr>
                <w:rFonts w:ascii="Times New Roman" w:cs="Times New Roman" w:eastAsia="Times New Roman" w:hAnsi="Times New Roman"/>
                <w:sz w:val="20"/>
                <w:szCs w:val="20"/>
                <w:color w:val="auto"/>
              </w:rPr>
              <w:t>March 20, 2025</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720" w:type="dxa"/>
            <w:vAlign w:val="bottom"/>
            <w:gridSpan w:val="18"/>
          </w:tcPr>
          <w:p>
            <w:pPr>
              <w:spacing w:after="0" w:line="188" w:lineRule="exact"/>
              <w:rPr>
                <w:sz w:val="20"/>
                <w:szCs w:val="20"/>
                <w:color w:val="auto"/>
              </w:rPr>
            </w:pPr>
            <w:r>
              <w:rPr>
                <w:rFonts w:ascii="Times New Roman" w:cs="Times New Roman" w:eastAsia="Times New Roman" w:hAnsi="Times New Roman"/>
                <w:sz w:val="18"/>
                <w:szCs w:val="18"/>
                <w:color w:val="0000FF"/>
              </w:rPr>
              <w:t>Policy</w:t>
            </w:r>
          </w:p>
        </w:tc>
        <w:tc>
          <w:tcPr>
            <w:tcW w:w="120" w:type="dxa"/>
            <w:vAlign w:val="bottom"/>
            <w:gridSpan w:val="5"/>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0"/>
        </w:trPr>
        <w:tc>
          <w:tcPr>
            <w:tcW w:w="66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jc w:val="right"/>
              <w:ind w:right="849"/>
              <w:spacing w:after="0"/>
              <w:rPr>
                <w:sz w:val="20"/>
                <w:szCs w:val="20"/>
                <w:color w:val="auto"/>
              </w:rPr>
            </w:pPr>
            <w:r>
              <w:rPr>
                <w:rFonts w:ascii="Times New Roman" w:cs="Times New Roman" w:eastAsia="Times New Roman" w:hAnsi="Times New Roman"/>
                <w:sz w:val="20"/>
                <w:szCs w:val="20"/>
                <w:color w:val="auto"/>
              </w:rPr>
              <w:t>100</w:t>
            </w: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21" w:right="1440" w:bottom="139" w:gutter="0" w:footer="0" w:header="0"/>
        </w:sectPr>
      </w:pPr>
    </w:p>
    <w:bookmarkStart w:id="102" w:name="page103"/>
    <w:bookmarkEnd w:id="102"/>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40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0"/>
        </w:trPr>
        <w:tc>
          <w:tcPr>
            <w:tcW w:w="7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Schema Document</w:t>
            </w:r>
          </w:p>
        </w:tc>
        <w:tc>
          <w:tcPr>
            <w:tcW w:w="2860" w:type="dxa"/>
            <w:vAlign w:val="bottom"/>
          </w:tcPr>
          <w:p>
            <w:pPr>
              <w:spacing w:after="0"/>
              <w:rPr>
                <w:sz w:val="20"/>
                <w:szCs w:val="20"/>
                <w:color w:val="auto"/>
              </w:rPr>
            </w:pPr>
          </w:p>
        </w:tc>
      </w:tr>
      <w:tr>
        <w:trPr>
          <w:trHeight w:val="40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0"/>
        </w:trPr>
        <w:tc>
          <w:tcPr>
            <w:tcW w:w="7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2860" w:type="dxa"/>
            <w:vAlign w:val="bottom"/>
          </w:tcPr>
          <w:p>
            <w:pPr>
              <w:spacing w:after="0"/>
              <w:rPr>
                <w:sz w:val="20"/>
                <w:szCs w:val="20"/>
                <w:color w:val="auto"/>
              </w:rPr>
            </w:pPr>
          </w:p>
        </w:tc>
      </w:tr>
      <w:tr>
        <w:trPr>
          <w:trHeight w:val="40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0"/>
        </w:trPr>
        <w:tc>
          <w:tcPr>
            <w:tcW w:w="7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860" w:type="dxa"/>
            <w:vAlign w:val="bottom"/>
          </w:tcPr>
          <w:p>
            <w:pPr>
              <w:spacing w:after="0"/>
              <w:rPr>
                <w:sz w:val="20"/>
                <w:szCs w:val="20"/>
                <w:color w:val="auto"/>
              </w:rPr>
            </w:pPr>
          </w:p>
        </w:tc>
      </w:tr>
      <w:tr>
        <w:trPr>
          <w:trHeight w:val="40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0"/>
        </w:trPr>
        <w:tc>
          <w:tcPr>
            <w:tcW w:w="7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Label Linkbase Document</w:t>
            </w:r>
          </w:p>
        </w:tc>
        <w:tc>
          <w:tcPr>
            <w:tcW w:w="2860" w:type="dxa"/>
            <w:vAlign w:val="bottom"/>
          </w:tcPr>
          <w:p>
            <w:pPr>
              <w:spacing w:after="0"/>
              <w:rPr>
                <w:sz w:val="20"/>
                <w:szCs w:val="20"/>
                <w:color w:val="auto"/>
              </w:rPr>
            </w:pPr>
          </w:p>
        </w:tc>
      </w:tr>
      <w:tr>
        <w:trPr>
          <w:trHeight w:val="40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0"/>
        </w:trPr>
        <w:tc>
          <w:tcPr>
            <w:tcW w:w="7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860" w:type="dxa"/>
            <w:vAlign w:val="bottom"/>
          </w:tcPr>
          <w:p>
            <w:pPr>
              <w:spacing w:after="0"/>
              <w:rPr>
                <w:sz w:val="20"/>
                <w:szCs w:val="20"/>
                <w:color w:val="auto"/>
              </w:rPr>
            </w:pPr>
          </w:p>
        </w:tc>
      </w:tr>
      <w:tr>
        <w:trPr>
          <w:trHeight w:val="40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86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8"/>
        </w:trPr>
        <w:tc>
          <w:tcPr>
            <w:tcW w:w="740" w:type="dxa"/>
            <w:vAlign w:val="bottom"/>
          </w:tcPr>
          <w:p>
            <w:pPr>
              <w:spacing w:after="0"/>
              <w:rPr>
                <w:sz w:val="18"/>
                <w:szCs w:val="18"/>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2860" w:type="dxa"/>
            <w:vAlign w:val="bottom"/>
          </w:tcPr>
          <w:p>
            <w:pPr>
              <w:spacing w:after="0"/>
              <w:rPr>
                <w:sz w:val="18"/>
                <w:szCs w:val="18"/>
                <w:color w:val="auto"/>
              </w:rPr>
            </w:pPr>
          </w:p>
        </w:tc>
      </w:tr>
      <w:tr>
        <w:trPr>
          <w:trHeight w:val="240"/>
        </w:trPr>
        <w:tc>
          <w:tcPr>
            <w:tcW w:w="7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86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w:t>
      </w:r>
    </w:p>
    <w:p>
      <w:pPr>
        <w:spacing w:after="0" w:line="138" w:lineRule="exact"/>
        <w:rPr>
          <w:sz w:val="20"/>
          <w:szCs w:val="20"/>
          <w:color w:val="auto"/>
        </w:rPr>
      </w:pPr>
    </w:p>
    <w:p>
      <w:pPr>
        <w:ind w:right="180"/>
        <w:spacing w:after="0" w:line="277" w:lineRule="auto"/>
        <w:tabs>
          <w:tab w:leader="none" w:pos="15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the exhibit have been omitted as the Registrant has determined that: (i) the omitted information is not material; and (ii) the omitted information is the type that the Registrant treats as private or confidential.</w:t>
      </w:r>
    </w:p>
    <w:p>
      <w:pPr>
        <w:spacing w:after="0" w:line="159" w:lineRule="exact"/>
        <w:rPr>
          <w:sz w:val="20"/>
          <w:szCs w:val="20"/>
          <w:color w:val="auto"/>
        </w:rPr>
      </w:pPr>
    </w:p>
    <w:p>
      <w:pPr>
        <w:ind w:right="100"/>
        <w:spacing w:after="0" w:line="277" w:lineRule="auto"/>
        <w:tabs>
          <w:tab w:leader="none" w:pos="1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similar attachments have been omitted pursuant to Item 601(a)(5) of Regulation S-K. The Registrant will furnish a supplemental copy of any omitted schedule or similar attachment to the SEC upon request.</w:t>
      </w:r>
    </w:p>
    <w:p>
      <w:pPr>
        <w:spacing w:after="0" w:line="67" w:lineRule="exact"/>
        <w:rPr>
          <w:sz w:val="20"/>
          <w:szCs w:val="20"/>
          <w:color w:val="auto"/>
        </w:rPr>
      </w:pPr>
    </w:p>
    <w:p>
      <w:pPr>
        <w:ind w:right="160"/>
        <w:spacing w:after="0" w:line="252" w:lineRule="auto"/>
        <w:tabs>
          <w:tab w:leader="none" w:pos="151"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certification is being furnished and will not be deemed “filed” for purposes of Section 18 of the Securities Exchange Act of 1934, as amended, or otherwise subject to the liability of that section, and are not to be incorporated by reference into any filing of the Registrant, whether made before or after the date hereof, regardless of any general incorporation language in such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1440" w:right="1440" w:bottom="175"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3" w:lineRule="exact"/>
        <w:rPr>
          <w:sz w:val="20"/>
          <w:szCs w:val="20"/>
          <w:color w:val="auto"/>
        </w:rPr>
      </w:pPr>
    </w:p>
    <w:p>
      <w:pPr>
        <w:ind w:right="180" w:firstLine="490"/>
        <w:spacing w:after="0" w:line="282"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80" w:type="dxa"/>
            <w:vAlign w:val="bottom"/>
          </w:tcPr>
          <w:p>
            <w:pPr>
              <w:spacing w:after="0"/>
              <w:rPr>
                <w:sz w:val="23"/>
                <w:szCs w:val="23"/>
                <w:color w:val="auto"/>
              </w:rPr>
            </w:pPr>
          </w:p>
        </w:tc>
        <w:tc>
          <w:tcPr>
            <w:tcW w:w="6180" w:type="dxa"/>
            <w:vAlign w:val="bottom"/>
            <w:gridSpan w:val="2"/>
          </w:tcPr>
          <w:p>
            <w:pPr>
              <w:ind w:left="1400"/>
              <w:spacing w:after="0"/>
              <w:rPr>
                <w:sz w:val="20"/>
                <w:szCs w:val="20"/>
                <w:color w:val="auto"/>
              </w:rPr>
            </w:pPr>
            <w:r>
              <w:rPr>
                <w:rFonts w:ascii="Times New Roman" w:cs="Times New Roman" w:eastAsia="Times New Roman" w:hAnsi="Times New Roman"/>
                <w:sz w:val="20"/>
                <w:szCs w:val="20"/>
                <w:b w:val="1"/>
                <w:bCs w:val="1"/>
                <w:color w:val="auto"/>
              </w:rPr>
              <w:t>VOR BIOPHARMA INC.</w:t>
            </w:r>
          </w:p>
        </w:tc>
      </w:tr>
      <w:tr>
        <w:trPr>
          <w:trHeight w:val="439"/>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Date: March 30, 2026</w:t>
            </w:r>
          </w:p>
        </w:tc>
        <w:tc>
          <w:tcPr>
            <w:tcW w:w="6180" w:type="dxa"/>
            <w:vAlign w:val="bottom"/>
            <w:gridSpan w:val="2"/>
          </w:tcPr>
          <w:p>
            <w:pPr>
              <w:ind w:left="1400"/>
              <w:spacing w:after="0"/>
              <w:rPr>
                <w:sz w:val="20"/>
                <w:szCs w:val="20"/>
                <w:color w:val="auto"/>
              </w:rPr>
            </w:pPr>
            <w:r>
              <w:rPr>
                <w:rFonts w:ascii="Times New Roman" w:cs="Times New Roman" w:eastAsia="Times New Roman" w:hAnsi="Times New Roman"/>
                <w:sz w:val="20"/>
                <w:szCs w:val="20"/>
                <w:color w:val="auto"/>
              </w:rPr>
              <w:t>By:  /s/ Jean-Paul Kress</w:t>
            </w:r>
          </w:p>
        </w:tc>
      </w:tr>
      <w:tr>
        <w:trPr>
          <w:trHeight w:val="201"/>
        </w:trPr>
        <w:tc>
          <w:tcPr>
            <w:tcW w:w="3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3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Jean-Paul Kress, M.D.</w:t>
            </w:r>
          </w:p>
        </w:tc>
      </w:tr>
      <w:tr>
        <w:trPr>
          <w:trHeight w:val="267"/>
        </w:trPr>
        <w:tc>
          <w:tcPr>
            <w:tcW w:w="31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President, Chief Executive Officer and Chairman</w:t>
            </w:r>
          </w:p>
        </w:tc>
      </w:tr>
    </w:tbl>
    <w:p>
      <w:pPr>
        <w:spacing w:after="0" w:line="239"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25"/>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Chief Executive Officer and Chairman</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Jean-Paul Kress</w:t>
            </w:r>
          </w:p>
        </w:tc>
        <w:tc>
          <w:tcPr>
            <w:tcW w:w="10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Jean-Paul Kress, M.D.</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04"/>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(Principal Financial Officer</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Sandesh Mahatme</w:t>
            </w:r>
          </w:p>
        </w:tc>
        <w:tc>
          <w:tcPr>
            <w:tcW w:w="10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 Principal Accounting Officer)</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Sandesh Mahatme</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2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Daniella Beckman</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Lead Independent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Daniella Beckman</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2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Alexander Cumbo</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Alexander Cumbo</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2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Erez Kalir</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Erez Kalir</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2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Michel Detheux</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Michel Detheux, Ph.D.</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2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Wouter Joustra</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Wouter Joustra</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42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Fouad Namouni</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Fouad Namouni, M.D.</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65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Andrew Levin</w:t>
            </w:r>
          </w:p>
        </w:tc>
        <w:tc>
          <w:tcPr>
            <w:tcW w:w="10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30, 2026</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Andrew Levin, M.D., Ph.D.</w:t>
            </w:r>
          </w:p>
        </w:tc>
        <w:tc>
          <w:tcPr>
            <w:tcW w:w="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60"/>
          </w:cols>
          <w:pgMar w:left="1440" w:top="1416" w:right="1440" w:bottom="175" w:gutter="0" w:footer="0" w:header="0"/>
        </w:sectPr>
      </w:pPr>
    </w:p>
    <w:bookmarkStart w:id="104" w:name="page105"/>
    <w:bookmarkEnd w:id="104"/>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VOR BIOPHARMA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60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r>
              <w:rPr>
                <w:rFonts w:ascii="Times New Roman" w:cs="Times New Roman" w:eastAsia="Times New Roman" w:hAnsi="Times New Roman"/>
                <w:sz w:val="24"/>
                <w:szCs w:val="24"/>
                <w:color w:val="000000"/>
              </w:rPr>
              <w:t>)</w:t>
            </w:r>
          </w:p>
        </w:tc>
        <w:tc>
          <w:tcPr>
            <w:tcW w:w="176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3"/>
              </w:rPr>
              <w:t>F-1</w:t>
            </w:r>
          </w:p>
        </w:tc>
      </w:tr>
      <w:tr>
        <w:trPr>
          <w:trHeight w:val="219"/>
        </w:trPr>
        <w:tc>
          <w:tcPr>
            <w:tcW w:w="4700" w:type="dxa"/>
            <w:vAlign w:val="bottom"/>
            <w:tcBorders>
              <w:top w:val="single" w:sz="8" w:color="0000FF"/>
            </w:tcBorders>
            <w:gridSpan w:val="5"/>
          </w:tcPr>
          <w:p>
            <w:pPr>
              <w:spacing w:after="0" w:line="219" w:lineRule="exact"/>
              <w:rPr>
                <w:sz w:val="20"/>
                <w:szCs w:val="20"/>
                <w:color w:val="auto"/>
              </w:rPr>
            </w:pPr>
            <w:r>
              <w:rPr>
                <w:rFonts w:ascii="Times New Roman" w:cs="Times New Roman" w:eastAsia="Times New Roman" w:hAnsi="Times New Roman"/>
                <w:sz w:val="20"/>
                <w:szCs w:val="20"/>
                <w:color w:val="0000FF"/>
              </w:rPr>
              <w:t>Consolidated Balance Sheets</w:t>
            </w:r>
          </w:p>
        </w:tc>
        <w:tc>
          <w:tcPr>
            <w:tcW w:w="2900" w:type="dxa"/>
            <w:vAlign w:val="bottom"/>
            <w:gridSpan w:val="2"/>
          </w:tcPr>
          <w:p>
            <w:pPr>
              <w:spacing w:after="0"/>
              <w:rPr>
                <w:sz w:val="19"/>
                <w:szCs w:val="19"/>
                <w:color w:val="auto"/>
              </w:rPr>
            </w:pPr>
          </w:p>
        </w:tc>
        <w:tc>
          <w:tcPr>
            <w:tcW w:w="1760" w:type="dxa"/>
            <w:vAlign w:val="bottom"/>
          </w:tcPr>
          <w:p>
            <w:pPr>
              <w:ind w:left="1480"/>
              <w:spacing w:after="0" w:line="219" w:lineRule="exact"/>
              <w:rPr>
                <w:sz w:val="20"/>
                <w:szCs w:val="20"/>
                <w:color w:val="auto"/>
              </w:rPr>
            </w:pPr>
            <w:r>
              <w:rPr>
                <w:rFonts w:ascii="Times New Roman" w:cs="Times New Roman" w:eastAsia="Times New Roman" w:hAnsi="Times New Roman"/>
                <w:sz w:val="20"/>
                <w:szCs w:val="20"/>
                <w:color w:val="auto"/>
                <w:w w:val="93"/>
              </w:rPr>
              <w:t>F-2</w:t>
            </w:r>
          </w:p>
        </w:tc>
      </w:tr>
      <w:tr>
        <w:trPr>
          <w:trHeight w:val="210"/>
        </w:trPr>
        <w:tc>
          <w:tcPr>
            <w:tcW w:w="2320" w:type="dxa"/>
            <w:vAlign w:val="bottom"/>
            <w:tcBorders>
              <w:top w:val="single" w:sz="8" w:color="0000FF"/>
            </w:tcBorders>
          </w:tcPr>
          <w:p>
            <w:pPr>
              <w:spacing w:after="0" w:line="210" w:lineRule="exact"/>
              <w:rPr>
                <w:sz w:val="20"/>
                <w:szCs w:val="20"/>
                <w:color w:val="auto"/>
              </w:rPr>
            </w:pPr>
            <w:r>
              <w:rPr>
                <w:rFonts w:ascii="Times New Roman" w:cs="Times New Roman" w:eastAsia="Times New Roman" w:hAnsi="Times New Roman"/>
                <w:sz w:val="20"/>
                <w:szCs w:val="20"/>
                <w:color w:val="0000FF"/>
              </w:rPr>
              <w:t>Consolidated Statements of</w:t>
            </w:r>
          </w:p>
        </w:tc>
        <w:tc>
          <w:tcPr>
            <w:tcW w:w="5280" w:type="dxa"/>
            <w:vAlign w:val="bottom"/>
            <w:gridSpan w:val="6"/>
          </w:tcPr>
          <w:p>
            <w:pPr>
              <w:spacing w:after="0" w:line="210" w:lineRule="exact"/>
              <w:rPr>
                <w:sz w:val="20"/>
                <w:szCs w:val="20"/>
                <w:color w:val="auto"/>
              </w:rPr>
            </w:pPr>
            <w:r>
              <w:rPr>
                <w:rFonts w:ascii="Times New Roman" w:cs="Times New Roman" w:eastAsia="Times New Roman" w:hAnsi="Times New Roman"/>
                <w:sz w:val="20"/>
                <w:szCs w:val="20"/>
                <w:color w:val="0000FF"/>
              </w:rPr>
              <w:t>Operations and Comprehensive Loss</w:t>
            </w:r>
          </w:p>
        </w:tc>
        <w:tc>
          <w:tcPr>
            <w:tcW w:w="1760" w:type="dxa"/>
            <w:vAlign w:val="bottom"/>
          </w:tcPr>
          <w:p>
            <w:pPr>
              <w:ind w:left="1480"/>
              <w:spacing w:after="0" w:line="210" w:lineRule="exact"/>
              <w:rPr>
                <w:sz w:val="20"/>
                <w:szCs w:val="20"/>
                <w:color w:val="auto"/>
              </w:rPr>
            </w:pPr>
            <w:r>
              <w:rPr>
                <w:rFonts w:ascii="Times New Roman" w:cs="Times New Roman" w:eastAsia="Times New Roman" w:hAnsi="Times New Roman"/>
                <w:sz w:val="20"/>
                <w:szCs w:val="20"/>
                <w:color w:val="auto"/>
                <w:w w:val="93"/>
              </w:rPr>
              <w:t>F-3</w:t>
            </w:r>
          </w:p>
        </w:tc>
      </w:tr>
      <w:tr>
        <w:trPr>
          <w:trHeight w:val="209"/>
        </w:trPr>
        <w:tc>
          <w:tcPr>
            <w:tcW w:w="5200" w:type="dxa"/>
            <w:vAlign w:val="bottom"/>
            <w:tcBorders>
              <w:top w:val="single" w:sz="8" w:color="0000FF"/>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Stockholders’ Equity (Deficit)</w:t>
            </w:r>
          </w:p>
        </w:tc>
        <w:tc>
          <w:tcPr>
            <w:tcW w:w="2400" w:type="dxa"/>
            <w:vAlign w:val="bottom"/>
          </w:tcPr>
          <w:p>
            <w:pPr>
              <w:spacing w:after="0"/>
              <w:rPr>
                <w:sz w:val="18"/>
                <w:szCs w:val="18"/>
                <w:color w:val="auto"/>
              </w:rPr>
            </w:pPr>
          </w:p>
        </w:tc>
        <w:tc>
          <w:tcPr>
            <w:tcW w:w="1760" w:type="dxa"/>
            <w:vAlign w:val="bottom"/>
          </w:tcPr>
          <w:p>
            <w:pPr>
              <w:ind w:left="1480"/>
              <w:spacing w:after="0" w:line="209" w:lineRule="exact"/>
              <w:rPr>
                <w:sz w:val="20"/>
                <w:szCs w:val="20"/>
                <w:color w:val="auto"/>
              </w:rPr>
            </w:pPr>
            <w:r>
              <w:rPr>
                <w:rFonts w:ascii="Times New Roman" w:cs="Times New Roman" w:eastAsia="Times New Roman" w:hAnsi="Times New Roman"/>
                <w:sz w:val="20"/>
                <w:szCs w:val="20"/>
                <w:color w:val="auto"/>
                <w:w w:val="93"/>
              </w:rPr>
              <w:t>F-4</w:t>
            </w:r>
          </w:p>
        </w:tc>
      </w:tr>
      <w:tr>
        <w:trPr>
          <w:trHeight w:val="210"/>
        </w:trPr>
        <w:tc>
          <w:tcPr>
            <w:tcW w:w="3200" w:type="dxa"/>
            <w:vAlign w:val="bottom"/>
            <w:tcBorders>
              <w:top w:val="single" w:sz="8" w:color="0000FF"/>
              <w:bottom w:val="single" w:sz="8" w:color="0000FF"/>
            </w:tcBorders>
            <w:gridSpan w:val="2"/>
          </w:tcPr>
          <w:p>
            <w:pPr>
              <w:spacing w:after="0" w:line="210" w:lineRule="exact"/>
              <w:rPr>
                <w:sz w:val="20"/>
                <w:szCs w:val="20"/>
                <w:color w:val="auto"/>
              </w:rPr>
            </w:pPr>
            <w:r>
              <w:rPr>
                <w:rFonts w:ascii="Times New Roman" w:cs="Times New Roman" w:eastAsia="Times New Roman" w:hAnsi="Times New Roman"/>
                <w:sz w:val="20"/>
                <w:szCs w:val="20"/>
                <w:color w:val="0000FF"/>
                <w:w w:val="99"/>
              </w:rPr>
              <w:t>Consolidated Statements of Cash Flows</w:t>
            </w:r>
          </w:p>
        </w:tc>
        <w:tc>
          <w:tcPr>
            <w:tcW w:w="1480" w:type="dxa"/>
            <w:vAlign w:val="bottom"/>
            <w:tcBorders>
              <w:top w:val="single" w:sz="8" w:color="0000FF"/>
            </w:tcBorders>
            <w:gridSpan w:val="2"/>
          </w:tcPr>
          <w:p>
            <w:pPr>
              <w:spacing w:after="0"/>
              <w:rPr>
                <w:sz w:val="18"/>
                <w:szCs w:val="18"/>
                <w:color w:val="auto"/>
              </w:rPr>
            </w:pPr>
          </w:p>
        </w:tc>
        <w:tc>
          <w:tcPr>
            <w:tcW w:w="2920" w:type="dxa"/>
            <w:vAlign w:val="bottom"/>
            <w:gridSpan w:val="3"/>
          </w:tcPr>
          <w:p>
            <w:pPr>
              <w:spacing w:after="0"/>
              <w:rPr>
                <w:sz w:val="18"/>
                <w:szCs w:val="18"/>
                <w:color w:val="auto"/>
              </w:rPr>
            </w:pPr>
          </w:p>
        </w:tc>
        <w:tc>
          <w:tcPr>
            <w:tcW w:w="1760" w:type="dxa"/>
            <w:vAlign w:val="bottom"/>
          </w:tcPr>
          <w:p>
            <w:pPr>
              <w:ind w:left="1480"/>
              <w:spacing w:after="0" w:line="210" w:lineRule="exact"/>
              <w:rPr>
                <w:sz w:val="20"/>
                <w:szCs w:val="20"/>
                <w:color w:val="auto"/>
              </w:rPr>
            </w:pPr>
            <w:r>
              <w:rPr>
                <w:rFonts w:ascii="Times New Roman" w:cs="Times New Roman" w:eastAsia="Times New Roman" w:hAnsi="Times New Roman"/>
                <w:sz w:val="20"/>
                <w:szCs w:val="20"/>
                <w:color w:val="auto"/>
                <w:w w:val="93"/>
              </w:rPr>
              <w:t>F-5</w:t>
            </w:r>
          </w:p>
        </w:tc>
      </w:tr>
      <w:tr>
        <w:trPr>
          <w:trHeight w:val="210"/>
        </w:trPr>
        <w:tc>
          <w:tcPr>
            <w:tcW w:w="3500" w:type="dxa"/>
            <w:vAlign w:val="bottom"/>
            <w:tcBorders>
              <w:bottom w:val="single" w:sz="8" w:color="0000FF"/>
            </w:tcBorders>
            <w:gridSpan w:val="3"/>
          </w:tcPr>
          <w:p>
            <w:pPr>
              <w:spacing w:after="0" w:line="210" w:lineRule="exact"/>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4100" w:type="dxa"/>
            <w:vAlign w:val="bottom"/>
            <w:gridSpan w:val="4"/>
          </w:tcPr>
          <w:p>
            <w:pPr>
              <w:spacing w:after="0"/>
              <w:rPr>
                <w:sz w:val="18"/>
                <w:szCs w:val="18"/>
                <w:color w:val="auto"/>
              </w:rPr>
            </w:pPr>
          </w:p>
        </w:tc>
        <w:tc>
          <w:tcPr>
            <w:tcW w:w="1760" w:type="dxa"/>
            <w:vAlign w:val="bottom"/>
          </w:tcPr>
          <w:p>
            <w:pPr>
              <w:ind w:left="1480"/>
              <w:spacing w:after="0" w:line="210" w:lineRule="exact"/>
              <w:rPr>
                <w:sz w:val="20"/>
                <w:szCs w:val="20"/>
                <w:color w:val="auto"/>
              </w:rPr>
            </w:pPr>
            <w:r>
              <w:rPr>
                <w:rFonts w:ascii="Times New Roman" w:cs="Times New Roman" w:eastAsia="Times New Roman" w:hAnsi="Times New Roman"/>
                <w:sz w:val="20"/>
                <w:szCs w:val="20"/>
                <w:color w:val="auto"/>
                <w:w w:val="93"/>
              </w:rPr>
              <w:t>F-7</w:t>
            </w:r>
          </w:p>
        </w:tc>
      </w:tr>
    </w:tbl>
    <w:p>
      <w:pPr>
        <w:sectPr>
          <w:pgSz w:w="12240" w:h="15840" w:orient="portrait"/>
          <w:cols w:equalWidth="0" w:num="1">
            <w:col w:w="9360"/>
          </w:cols>
          <w:pgMar w:left="1440" w:top="1440"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Vor Biopharma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Vor Biopharma Inc. (the Company) as of December 31, 2025 and 2024, the related consolidated statements of operations and comprehensive loss,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416" w:right="1440" w:bottom="175"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VOR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89"/>
        </w:trPr>
        <w:tc>
          <w:tcPr>
            <w:tcW w:w="6420" w:type="dxa"/>
            <w:vAlign w:val="bottom"/>
            <w:tcBorders>
              <w:bottom w:val="single" w:sz="8" w:color="CFF0FC"/>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FF0FC"/>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396,486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458,105</w:t>
            </w:r>
          </w:p>
        </w:tc>
        <w:tc>
          <w:tcPr>
            <w:tcW w:w="10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96,507</w:t>
            </w:r>
          </w:p>
        </w:tc>
        <w:tc>
          <w:tcPr>
            <w:tcW w:w="10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464,126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gridSpan w:val="2"/>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142,891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FF0FC"/>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bottom w:val="single" w:sz="8" w:color="CFF0FC"/>
            </w:tcBorders>
            <w:gridSpan w:val="3"/>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18,612</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liabilities—non-current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 liabilities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600,547</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628,438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46,227</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20" w:type="dxa"/>
            <w:vAlign w:val="bottom"/>
            <w:gridSpan w:val="3"/>
          </w:tcPr>
          <w:p>
            <w:pPr>
              <w:ind w:left="200"/>
              <w:spacing w:after="0" w:line="183" w:lineRule="exact"/>
              <w:rPr>
                <w:sz w:val="20"/>
                <w:szCs w:val="20"/>
                <w:color w:val="auto"/>
              </w:rPr>
            </w:pPr>
            <w:r>
              <w:rPr>
                <w:rFonts w:ascii="Times New Roman" w:cs="Times New Roman" w:eastAsia="Times New Roman" w:hAnsi="Times New Roman"/>
                <w:sz w:val="16"/>
                <w:szCs w:val="16"/>
                <w:color w:val="auto"/>
              </w:rPr>
              <w:t>Preferred stock, $0.0001 par value; 10,000,000 shares authorized as of December 31, 2025</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and December 31, 2024; 0 shares issued and outstanding as of December 31, 2025 and</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December 31, 2024</w:t>
            </w:r>
          </w:p>
        </w:tc>
        <w:tc>
          <w:tcPr>
            <w:tcW w:w="6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260" w:type="dxa"/>
            <w:vAlign w:val="bottom"/>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Common stock, $0.0001 par value; 800,000,000 and 400,000,000 shares authorized as of</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2025 and December 31, 2024, respectively; 38,720,196 and 6,238,799 shares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issued and outstanding as of December 31, 2025 and December 31, 2024, respectively</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988,604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(1,152,975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(456,994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(164,312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96,664</w:t>
            </w:r>
          </w:p>
        </w:tc>
        <w:tc>
          <w:tcPr>
            <w:tcW w:w="10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464,126</w:t>
            </w:r>
          </w:p>
        </w:tc>
        <w:tc>
          <w:tcPr>
            <w:tcW w:w="10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4067175</wp:posOffset>
                </wp:positionH>
                <wp:positionV relativeFrom="paragraph">
                  <wp:posOffset>-2947035</wp:posOffset>
                </wp:positionV>
                <wp:extent cx="89471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47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25pt,-232.0499pt" to="390.7pt,-232.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5049520</wp:posOffset>
                </wp:positionH>
                <wp:positionV relativeFrom="paragraph">
                  <wp:posOffset>-2947035</wp:posOffset>
                </wp:positionV>
                <wp:extent cx="89408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40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6pt,-232.0499pt" to="468pt,-232.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-1899285</wp:posOffset>
                </wp:positionV>
                <wp:extent cx="59436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9.5499pt" to="468pt,-149.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-664845</wp:posOffset>
                </wp:positionV>
                <wp:extent cx="59436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3499pt" to="468pt,-52.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-413385</wp:posOffset>
                </wp:positionV>
                <wp:extent cx="59436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5499pt" to="468pt,-32.5499pt" o:allowincell="f" strokecolor="#FFFFFF" strokeweight="0.72pt"/>
            </w:pict>
          </mc:Fallback>
        </mc:AlternateContent>
      </w: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1416" w:right="1440" w:bottom="175"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VOR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1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7"/>
          </w:tcPr>
          <w:p>
            <w:pPr>
              <w:jc w:val="center"/>
              <w:ind w:left="9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7"/>
          </w:tcPr>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880" w:type="dxa"/>
            <w:vAlign w:val="bottom"/>
            <w:tcBorders>
              <w:bottom w:val="single" w:sz="8" w:color="CFF0FC"/>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90" w:type="dxa"/>
            <w:vAlign w:val="bottom"/>
            <w:tcBorders>
              <w:bottom w:val="single" w:sz="8" w:color="auto"/>
            </w:tcBorders>
          </w:tcPr>
          <w:p>
            <w:pPr>
              <w:spacing w:after="0"/>
              <w:rPr>
                <w:sz w:val="16"/>
                <w:szCs w:val="16"/>
                <w:color w:val="auto"/>
              </w:rPr>
            </w:pPr>
          </w:p>
        </w:tc>
        <w:tc>
          <w:tcPr>
            <w:tcW w:w="39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1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0" w:type="dxa"/>
            <w:vAlign w:val="bottom"/>
            <w:shd w:val="clear" w:color="auto" w:fill="CFF0FC"/>
          </w:tcPr>
          <w:p>
            <w:pPr>
              <w:spacing w:after="0"/>
              <w:rPr>
                <w:sz w:val="16"/>
                <w:szCs w:val="16"/>
                <w:color w:val="auto"/>
              </w:rPr>
            </w:pPr>
          </w:p>
        </w:tc>
        <w:tc>
          <w:tcPr>
            <w:tcW w:w="39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8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321,532</w:t>
            </w: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9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39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93,310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10" w:type="dxa"/>
            <w:vAlign w:val="bottom"/>
            <w:shd w:val="clear" w:color="auto" w:fill="CFF0FC"/>
          </w:tcPr>
          <w:p>
            <w:pPr>
              <w:ind w:left="200"/>
              <w:spacing w:after="0" w:line="178" w:lineRule="exact"/>
              <w:rPr>
                <w:sz w:val="20"/>
                <w:szCs w:val="20"/>
                <w:color w:val="auto"/>
              </w:rPr>
            </w:pPr>
            <w:r>
              <w:rPr>
                <w:rFonts w:ascii="Times New Roman" w:cs="Times New Roman" w:eastAsia="Times New Roman" w:hAnsi="Times New Roman"/>
                <w:sz w:val="16"/>
                <w:szCs w:val="16"/>
                <w:color w:val="auto"/>
              </w:rPr>
              <w:t>General and administrative</w:t>
            </w:r>
          </w:p>
        </w:tc>
        <w:tc>
          <w:tcPr>
            <w:tcW w:w="15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50,110</w:t>
            </w:r>
          </w:p>
        </w:tc>
        <w:tc>
          <w:tcPr>
            <w:tcW w:w="8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0" w:type="dxa"/>
            <w:vAlign w:val="bottom"/>
            <w:tcBorders>
              <w:bottom w:val="single" w:sz="8" w:color="auto"/>
            </w:tcBorders>
            <w:shd w:val="clear" w:color="auto" w:fill="CFF0FC"/>
          </w:tcPr>
          <w:p>
            <w:pPr>
              <w:spacing w:after="0"/>
              <w:rPr>
                <w:sz w:val="15"/>
                <w:szCs w:val="15"/>
                <w:color w:val="auto"/>
              </w:rPr>
            </w:pPr>
          </w:p>
        </w:tc>
        <w:tc>
          <w:tcPr>
            <w:tcW w:w="39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27,875</w:t>
            </w:r>
          </w:p>
        </w:tc>
        <w:tc>
          <w:tcPr>
            <w:tcW w:w="1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710" w:type="dxa"/>
            <w:vAlign w:val="bottom"/>
            <w:tcBorders>
              <w:bottom w:val="single" w:sz="8" w:color="CFF0FC"/>
            </w:tcBorders>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371,642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39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121,185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710" w:type="dxa"/>
            <w:vAlign w:val="bottom"/>
            <w:tcBorders>
              <w:top w:val="single" w:sz="8" w:color="CFF0FC"/>
            </w:tcBorders>
            <w:shd w:val="clear" w:color="auto" w:fill="CFF0FC"/>
          </w:tcPr>
          <w:p>
            <w:pPr>
              <w:spacing w:after="0" w:line="168" w:lineRule="exact"/>
              <w:rPr>
                <w:sz w:val="20"/>
                <w:szCs w:val="20"/>
                <w:color w:val="auto"/>
              </w:rPr>
            </w:pPr>
            <w:r>
              <w:rPr>
                <w:rFonts w:ascii="Times New Roman" w:cs="Times New Roman" w:eastAsia="Times New Roman" w:hAnsi="Times New Roman"/>
                <w:sz w:val="16"/>
                <w:szCs w:val="16"/>
                <w:color w:val="auto"/>
              </w:rPr>
              <w:t>Loss from operations</w:t>
            </w:r>
          </w:p>
        </w:tc>
        <w:tc>
          <w:tcPr>
            <w:tcW w:w="15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60" w:type="dxa"/>
            <w:vAlign w:val="bottom"/>
            <w:tcBorders>
              <w:top w:val="single" w:sz="8" w:color="CFF0FC"/>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(371,642</w:t>
            </w:r>
          </w:p>
        </w:tc>
        <w:tc>
          <w:tcPr>
            <w:tcW w:w="80" w:type="dxa"/>
            <w:vAlign w:val="bottom"/>
            <w:tcBorders>
              <w:top w:val="single" w:sz="8" w:color="CFF0FC"/>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0" w:type="dxa"/>
            <w:vAlign w:val="bottom"/>
            <w:tcBorders>
              <w:top w:val="single" w:sz="8" w:color="CFF0FC"/>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39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CFF0FC"/>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rPr>
              <w:t>(121,185</w:t>
            </w:r>
          </w:p>
        </w:tc>
        <w:tc>
          <w:tcPr>
            <w:tcW w:w="100" w:type="dxa"/>
            <w:vAlign w:val="bottom"/>
            <w:tcBorders>
              <w:top w:val="single" w:sz="8" w:color="CFF0FC"/>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197"/>
        </w:trPr>
        <w:tc>
          <w:tcPr>
            <w:tcW w:w="571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90" w:type="dxa"/>
            <w:vAlign w:val="bottom"/>
            <w:tcBorders>
              <w:bottom w:val="single" w:sz="8" w:color="CFF0FC"/>
            </w:tcBorders>
          </w:tcPr>
          <w:p>
            <w:pPr>
              <w:spacing w:after="0"/>
              <w:rPr>
                <w:sz w:val="17"/>
                <w:szCs w:val="17"/>
                <w:color w:val="auto"/>
              </w:rPr>
            </w:pPr>
          </w:p>
        </w:tc>
        <w:tc>
          <w:tcPr>
            <w:tcW w:w="39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710" w:type="dxa"/>
            <w:vAlign w:val="bottom"/>
            <w:shd w:val="clear" w:color="auto" w:fill="CFF0FC"/>
          </w:tcPr>
          <w:p>
            <w:pPr>
              <w:ind w:left="200"/>
              <w:spacing w:after="0" w:line="178" w:lineRule="exact"/>
              <w:rPr>
                <w:sz w:val="20"/>
                <w:szCs w:val="20"/>
                <w:color w:val="auto"/>
              </w:rPr>
            </w:pPr>
            <w:r>
              <w:rPr>
                <w:rFonts w:ascii="Times New Roman" w:cs="Times New Roman" w:eastAsia="Times New Roman" w:hAnsi="Times New Roman"/>
                <w:sz w:val="16"/>
                <w:szCs w:val="16"/>
                <w:color w:val="auto"/>
              </w:rPr>
              <w:t>Interest income</w:t>
            </w:r>
          </w:p>
        </w:tc>
        <w:tc>
          <w:tcPr>
            <w:tcW w:w="15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5,868</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0" w:type="dxa"/>
            <w:vAlign w:val="bottom"/>
            <w:shd w:val="clear" w:color="auto" w:fill="CFF0FC"/>
          </w:tcPr>
          <w:p>
            <w:pPr>
              <w:spacing w:after="0"/>
              <w:rPr>
                <w:sz w:val="15"/>
                <w:szCs w:val="15"/>
                <w:color w:val="auto"/>
              </w:rPr>
            </w:pPr>
          </w:p>
        </w:tc>
        <w:tc>
          <w:tcPr>
            <w:tcW w:w="39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4,271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1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15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90" w:type="dxa"/>
            <w:vAlign w:val="bottom"/>
            <w:tcBorders>
              <w:bottom w:val="single" w:sz="8" w:color="CFF0FC"/>
            </w:tcBorders>
          </w:tcPr>
          <w:p>
            <w:pPr>
              <w:spacing w:after="0"/>
              <w:rPr>
                <w:sz w:val="17"/>
                <w:szCs w:val="17"/>
                <w:color w:val="auto"/>
              </w:rPr>
            </w:pPr>
          </w:p>
        </w:tc>
        <w:tc>
          <w:tcPr>
            <w:tcW w:w="39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10" w:type="dxa"/>
            <w:vAlign w:val="bottom"/>
            <w:shd w:val="clear" w:color="auto" w:fill="CFF0FC"/>
          </w:tcPr>
          <w:p>
            <w:pPr>
              <w:ind w:left="200"/>
              <w:spacing w:after="0" w:line="179" w:lineRule="exact"/>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5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(334,358</w:t>
            </w:r>
          </w:p>
        </w:tc>
        <w:tc>
          <w:tcPr>
            <w:tcW w:w="80" w:type="dxa"/>
            <w:vAlign w:val="bottom"/>
            <w:tcBorders>
              <w:bottom w:val="single" w:sz="8" w:color="auto"/>
            </w:tcBorders>
            <w:shd w:val="clear" w:color="auto" w:fill="CFF0FC"/>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0" w:type="dxa"/>
            <w:vAlign w:val="bottom"/>
            <w:tcBorders>
              <w:bottom w:val="single" w:sz="8" w:color="auto"/>
            </w:tcBorders>
            <w:shd w:val="clear" w:color="auto" w:fill="CFF0FC"/>
          </w:tcPr>
          <w:p>
            <w:pPr>
              <w:spacing w:after="0"/>
              <w:rPr>
                <w:sz w:val="15"/>
                <w:szCs w:val="15"/>
                <w:color w:val="auto"/>
              </w:rPr>
            </w:pPr>
          </w:p>
        </w:tc>
        <w:tc>
          <w:tcPr>
            <w:tcW w:w="39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10" w:type="dxa"/>
            <w:vAlign w:val="bottom"/>
            <w:tcBorders>
              <w:bottom w:val="single" w:sz="8" w:color="CFF0FC"/>
            </w:tcBorders>
          </w:tcPr>
          <w:p>
            <w:pPr>
              <w:ind w:left="4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5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(324,339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39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710" w:type="dxa"/>
            <w:vAlign w:val="bottom"/>
            <w:tcBorders>
              <w:top w:val="single" w:sz="8" w:color="CFF0FC"/>
            </w:tcBorders>
            <w:shd w:val="clear" w:color="auto" w:fill="CFF0FC"/>
          </w:tcPr>
          <w:p>
            <w:pPr>
              <w:spacing w:after="0" w:line="168" w:lineRule="exact"/>
              <w:rPr>
                <w:sz w:val="20"/>
                <w:szCs w:val="20"/>
                <w:color w:val="auto"/>
              </w:rPr>
            </w:pPr>
            <w:r>
              <w:rPr>
                <w:rFonts w:ascii="Times New Roman" w:cs="Times New Roman" w:eastAsia="Times New Roman" w:hAnsi="Times New Roman"/>
                <w:sz w:val="16"/>
                <w:szCs w:val="16"/>
                <w:color w:val="auto"/>
              </w:rPr>
              <w:t>Net loss</w:t>
            </w:r>
          </w:p>
        </w:tc>
        <w:tc>
          <w:tcPr>
            <w:tcW w:w="15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auto"/>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60" w:type="dxa"/>
            <w:vAlign w:val="bottom"/>
            <w:tcBorders>
              <w:top w:val="single" w:sz="8" w:color="CFF0FC"/>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(695,981</w:t>
            </w:r>
          </w:p>
        </w:tc>
        <w:tc>
          <w:tcPr>
            <w:tcW w:w="80" w:type="dxa"/>
            <w:vAlign w:val="bottom"/>
            <w:tcBorders>
              <w:top w:val="single" w:sz="8" w:color="CFF0FC"/>
              <w:bottom w:val="single" w:sz="8" w:color="auto"/>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20" w:type="dxa"/>
            <w:vAlign w:val="bottom"/>
            <w:tcBorders>
              <w:top w:val="single" w:sz="8" w:color="CFF0FC"/>
              <w:bottom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0" w:type="dxa"/>
            <w:vAlign w:val="bottom"/>
            <w:tcBorders>
              <w:top w:val="single" w:sz="8" w:color="CFF0FC"/>
              <w:bottom w:val="single" w:sz="8" w:color="auto"/>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390" w:type="dxa"/>
            <w:vAlign w:val="bottom"/>
            <w:tcBorders>
              <w:top w:val="single" w:sz="8" w:color="CFF0FC"/>
              <w:bottom w:val="single" w:sz="8" w:color="auto"/>
            </w:tcBorders>
            <w:shd w:val="clear" w:color="auto" w:fill="CFF0FC"/>
          </w:tcPr>
          <w:p>
            <w:pPr>
              <w:spacing w:after="0"/>
              <w:rPr>
                <w:sz w:val="14"/>
                <w:szCs w:val="14"/>
                <w:color w:val="auto"/>
              </w:rPr>
            </w:pPr>
          </w:p>
        </w:tc>
        <w:tc>
          <w:tcPr>
            <w:tcW w:w="1080" w:type="dxa"/>
            <w:vAlign w:val="bottom"/>
            <w:tcBorders>
              <w:top w:val="single" w:sz="8" w:color="CFF0FC"/>
              <w:bottom w:val="single" w:sz="8" w:color="auto"/>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rPr>
              <w:t>(116,914</w:t>
            </w:r>
          </w:p>
        </w:tc>
        <w:tc>
          <w:tcPr>
            <w:tcW w:w="100" w:type="dxa"/>
            <w:vAlign w:val="bottom"/>
            <w:tcBorders>
              <w:top w:val="single" w:sz="8" w:color="CFF0FC"/>
              <w:bottom w:val="single" w:sz="8" w:color="auto"/>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39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880" w:type="dxa"/>
            <w:vAlign w:val="bottom"/>
            <w:tcBorders>
              <w:bottom w:val="single" w:sz="8" w:color="CFF0FC"/>
            </w:tcBorders>
            <w:gridSpan w:val="3"/>
            <w:vMerge w:val="continue"/>
          </w:tcPr>
          <w:p>
            <w:pPr>
              <w:spacing w:after="0"/>
              <w:rPr>
                <w:sz w:val="15"/>
                <w:szCs w:val="15"/>
                <w:color w:val="auto"/>
              </w:rPr>
            </w:pP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(70.50 )</w:t>
            </w:r>
          </w:p>
        </w:tc>
        <w:tc>
          <w:tcPr>
            <w:tcW w:w="270" w:type="dxa"/>
            <w:vAlign w:val="bottom"/>
            <w:tcBorders>
              <w:bottom w:val="single" w:sz="8" w:color="CFF0FC"/>
            </w:tcBorders>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9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(34.03 )</w:t>
            </w:r>
          </w:p>
        </w:tc>
        <w:tc>
          <w:tcPr>
            <w:tcW w:w="0" w:type="dxa"/>
            <w:vAlign w:val="bottom"/>
          </w:tcPr>
          <w:p>
            <w:pPr>
              <w:spacing w:after="0"/>
              <w:rPr>
                <w:sz w:val="1"/>
                <w:szCs w:val="1"/>
                <w:color w:val="auto"/>
              </w:rPr>
            </w:pPr>
          </w:p>
        </w:tc>
      </w:tr>
      <w:tr>
        <w:trPr>
          <w:trHeight w:val="178"/>
        </w:trPr>
        <w:tc>
          <w:tcPr>
            <w:tcW w:w="571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Weighted-average common shares outstanding,</w:t>
            </w:r>
          </w:p>
        </w:tc>
        <w:tc>
          <w:tcPr>
            <w:tcW w:w="15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0" w:type="dxa"/>
            <w:vAlign w:val="bottom"/>
            <w:shd w:val="clear" w:color="auto" w:fill="CFF0FC"/>
          </w:tcPr>
          <w:p>
            <w:pPr>
              <w:spacing w:after="0"/>
              <w:rPr>
                <w:sz w:val="15"/>
                <w:szCs w:val="15"/>
                <w:color w:val="auto"/>
              </w:rPr>
            </w:pPr>
          </w:p>
        </w:tc>
        <w:tc>
          <w:tcPr>
            <w:tcW w:w="39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1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15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9,871,866</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90" w:type="dxa"/>
            <w:vAlign w:val="bottom"/>
            <w:shd w:val="clear" w:color="auto" w:fill="CFF0FC"/>
          </w:tcPr>
          <w:p>
            <w:pPr>
              <w:spacing w:after="0"/>
              <w:rPr>
                <w:sz w:val="15"/>
                <w:szCs w:val="15"/>
                <w:color w:val="auto"/>
              </w:rPr>
            </w:pPr>
          </w:p>
        </w:tc>
        <w:tc>
          <w:tcPr>
            <w:tcW w:w="39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3,435,533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1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39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1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5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0" w:type="dxa"/>
            <w:vAlign w:val="bottom"/>
            <w:shd w:val="clear" w:color="auto" w:fill="CFF0FC"/>
          </w:tcPr>
          <w:p>
            <w:pPr>
              <w:spacing w:after="0"/>
              <w:rPr>
                <w:sz w:val="17"/>
                <w:szCs w:val="17"/>
                <w:color w:val="auto"/>
              </w:rPr>
            </w:pPr>
          </w:p>
        </w:tc>
        <w:tc>
          <w:tcPr>
            <w:tcW w:w="39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 for sale marketable securities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39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710" w:type="dxa"/>
            <w:vAlign w:val="bottom"/>
            <w:tcBorders>
              <w:top w:val="single" w:sz="8" w:color="CFF0FC"/>
            </w:tcBorders>
            <w:shd w:val="clear" w:color="auto" w:fill="CFF0FC"/>
          </w:tcPr>
          <w:p>
            <w:pPr>
              <w:ind w:left="400"/>
              <w:spacing w:after="0" w:line="168"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5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auto"/>
            </w:tcBorders>
            <w:shd w:val="clear" w:color="auto" w:fill="CFF0FC"/>
          </w:tcPr>
          <w:p>
            <w:pPr>
              <w:spacing w:after="0"/>
              <w:rPr>
                <w:sz w:val="14"/>
                <w:szCs w:val="14"/>
                <w:color w:val="auto"/>
              </w:rPr>
            </w:pPr>
          </w:p>
        </w:tc>
        <w:tc>
          <w:tcPr>
            <w:tcW w:w="1460" w:type="dxa"/>
            <w:vAlign w:val="bottom"/>
            <w:tcBorders>
              <w:top w:val="single" w:sz="8" w:color="CFF0FC"/>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FF0FC"/>
              <w:bottom w:val="single" w:sz="8" w:color="auto"/>
            </w:tcBorders>
            <w:shd w:val="clear" w:color="auto" w:fill="CFF0FC"/>
          </w:tcPr>
          <w:p>
            <w:pPr>
              <w:spacing w:after="0"/>
              <w:rPr>
                <w:sz w:val="14"/>
                <w:szCs w:val="14"/>
                <w:color w:val="auto"/>
              </w:rPr>
            </w:pPr>
          </w:p>
        </w:tc>
        <w:tc>
          <w:tcPr>
            <w:tcW w:w="20" w:type="dxa"/>
            <w:vAlign w:val="bottom"/>
            <w:tcBorders>
              <w:top w:val="single" w:sz="8" w:color="CFF0FC"/>
              <w:bottom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0" w:type="dxa"/>
            <w:vAlign w:val="bottom"/>
            <w:tcBorders>
              <w:top w:val="single" w:sz="8" w:color="CFF0FC"/>
              <w:bottom w:val="single" w:sz="8" w:color="auto"/>
            </w:tcBorders>
            <w:shd w:val="clear" w:color="auto" w:fill="CFF0FC"/>
          </w:tcPr>
          <w:p>
            <w:pPr>
              <w:spacing w:after="0"/>
              <w:rPr>
                <w:sz w:val="14"/>
                <w:szCs w:val="14"/>
                <w:color w:val="auto"/>
              </w:rPr>
            </w:pPr>
          </w:p>
        </w:tc>
        <w:tc>
          <w:tcPr>
            <w:tcW w:w="390" w:type="dxa"/>
            <w:vAlign w:val="bottom"/>
            <w:tcBorders>
              <w:top w:val="single" w:sz="8" w:color="CFF0FC"/>
              <w:bottom w:val="single" w:sz="8" w:color="auto"/>
            </w:tcBorders>
            <w:shd w:val="clear" w:color="auto" w:fill="CFF0FC"/>
          </w:tcPr>
          <w:p>
            <w:pPr>
              <w:spacing w:after="0"/>
              <w:rPr>
                <w:sz w:val="14"/>
                <w:szCs w:val="14"/>
                <w:color w:val="auto"/>
              </w:rPr>
            </w:pPr>
          </w:p>
        </w:tc>
        <w:tc>
          <w:tcPr>
            <w:tcW w:w="1080" w:type="dxa"/>
            <w:vAlign w:val="bottom"/>
            <w:tcBorders>
              <w:top w:val="single" w:sz="8" w:color="CFF0FC"/>
              <w:bottom w:val="single" w:sz="8" w:color="auto"/>
            </w:tcBorders>
            <w:shd w:val="clear" w:color="auto" w:fill="CFF0FC"/>
          </w:tcPr>
          <w:p>
            <w:pPr>
              <w:jc w:val="right"/>
              <w:spacing w:after="0" w:line="168" w:lineRule="exact"/>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top w:val="single" w:sz="8" w:color="CFF0FC"/>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1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5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(695,962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39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(116,815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20"/>
        </w:trPr>
        <w:tc>
          <w:tcPr>
            <w:tcW w:w="571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39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-2361565</wp:posOffset>
            </wp:positionV>
            <wp:extent cx="5943600" cy="1704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extLst>
                    </a:blip>
                    <a:srcRect/>
                    <a:stretch>
                      <a:fillRect/>
                    </a:stretch>
                  </pic:blipFill>
                  <pic:spPr bwMode="auto">
                    <a:xfrm>
                      <a:off x="0" y="0"/>
                      <a:ext cx="5943600" cy="17049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-430530</wp:posOffset>
            </wp:positionV>
            <wp:extent cx="5943600" cy="415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extLst>
                    </a:blip>
                    <a:srcRect/>
                    <a:stretch>
                      <a:fillRect/>
                    </a:stretch>
                  </pic:blipFill>
                  <pic:spPr bwMode="auto">
                    <a:xfrm>
                      <a:off x="0" y="0"/>
                      <a:ext cx="5943600" cy="415290"/>
                    </a:xfrm>
                    <a:prstGeom prst="rect">
                      <a:avLst/>
                    </a:prstGeom>
                    <a:noFill/>
                  </pic:spPr>
                </pic:pic>
              </a:graphicData>
            </a:graphic>
          </wp:anchor>
        </w:drawing>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1416" w:right="1440" w:bottom="175"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VOR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9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9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419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5"/>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9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7"/>
        </w:trPr>
        <w:tc>
          <w:tcPr>
            <w:tcW w:w="41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r>
      <w:tr>
        <w:trPr>
          <w:trHeight w:val="165"/>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3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99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8"/>
              </w:rPr>
              <w:t>Equity (Deficit)</w:t>
            </w:r>
          </w:p>
        </w:tc>
      </w:tr>
      <w:tr>
        <w:trPr>
          <w:trHeight w:val="165"/>
        </w:trPr>
        <w:tc>
          <w:tcPr>
            <w:tcW w:w="419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1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3,395,072</w:t>
            </w: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shd w:val="clear" w:color="auto" w:fill="CFF0FC"/>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shd w:val="clear" w:color="auto" w:fill="CFF0FC"/>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490,874</w:t>
            </w: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3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1"/>
                <w:szCs w:val="11"/>
                <w:color w:val="auto"/>
                <w:w w:val="71"/>
                <w:shd w:val="clear" w:color="auto" w:fill="CFF0FC"/>
              </w:rPr>
              <w:t>$</w:t>
            </w:r>
          </w:p>
        </w:tc>
        <w:tc>
          <w:tcPr>
            <w:tcW w:w="99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(77</w:t>
            </w:r>
          </w:p>
        </w:tc>
        <w:tc>
          <w:tcPr>
            <w:tcW w:w="120" w:type="dxa"/>
            <w:vAlign w:val="bottom"/>
            <w:tcBorders>
              <w:top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8"/>
                <w:szCs w:val="8"/>
                <w:color w:val="auto"/>
                <w:w w:val="73"/>
                <w:shd w:val="clear" w:color="auto" w:fill="CFF0FC"/>
              </w:rPr>
              <w:t>)</w:t>
            </w: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shd w:val="clear" w:color="auto" w:fill="CFF0FC"/>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(340,080</w:t>
            </w:r>
          </w:p>
        </w:tc>
        <w:tc>
          <w:tcPr>
            <w:tcW w:w="100" w:type="dxa"/>
            <w:vAlign w:val="bottom"/>
            <w:tcBorders>
              <w:top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shd w:val="clear" w:color="auto" w:fill="CFF0FC"/>
              </w:rPr>
              <w:t>)</w:t>
            </w:r>
          </w:p>
        </w:tc>
        <w:tc>
          <w:tcPr>
            <w:tcW w:w="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FF0FC"/>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150,724</w:t>
            </w:r>
          </w:p>
        </w:tc>
        <w:tc>
          <w:tcPr>
            <w:tcW w:w="120" w:type="dxa"/>
            <w:vAlign w:val="bottom"/>
            <w:tcBorders>
              <w:top w:val="single" w:sz="8" w:color="CFF0FC"/>
            </w:tcBorders>
            <w:shd w:val="clear" w:color="auto" w:fill="CFF0FC"/>
          </w:tcPr>
          <w:p>
            <w:pPr>
              <w:spacing w:after="0"/>
              <w:rPr>
                <w:sz w:val="14"/>
                <w:szCs w:val="14"/>
                <w:color w:val="auto"/>
              </w:rPr>
            </w:pPr>
          </w:p>
        </w:tc>
      </w:tr>
      <w:tr>
        <w:trPr>
          <w:trHeight w:val="152"/>
        </w:trPr>
        <w:tc>
          <w:tcPr>
            <w:tcW w:w="4320" w:type="dxa"/>
            <w:vAlign w:val="bottom"/>
            <w:gridSpan w:val="3"/>
          </w:tcPr>
          <w:p>
            <w:pPr>
              <w:ind w:left="160"/>
              <w:spacing w:after="0" w:line="152" w:lineRule="exact"/>
              <w:rPr>
                <w:sz w:val="20"/>
                <w:szCs w:val="20"/>
                <w:color w:val="auto"/>
              </w:rPr>
            </w:pPr>
            <w:r>
              <w:rPr>
                <w:rFonts w:ascii="Times New Roman" w:cs="Times New Roman" w:eastAsia="Times New Roman" w:hAnsi="Times New Roman"/>
                <w:sz w:val="14"/>
                <w:szCs w:val="14"/>
                <w:color w:val="auto"/>
              </w:rPr>
              <w:t>Issuance of common stock upon vesting of RSUs, net of shares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9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withheld for taxes, exercise of stock options, and issuance of common</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9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stock under ESPP</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(56 )</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(56 )</w:t>
            </w:r>
          </w:p>
        </w:tc>
      </w:tr>
      <w:tr>
        <w:trPr>
          <w:trHeight w:val="174"/>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Issuance of common stock from at-the-market sales agreement</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shd w:val="clear" w:color="auto" w:fill="CFF0FC"/>
          </w:tcPr>
          <w:p>
            <w:pPr>
              <w:spacing w:after="0"/>
              <w:rPr>
                <w:sz w:val="15"/>
                <w:szCs w:val="15"/>
                <w:color w:val="auto"/>
              </w:rPr>
            </w:pPr>
          </w:p>
        </w:tc>
        <w:tc>
          <w:tcPr>
            <w:tcW w:w="99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shd w:val="clear" w:color="auto" w:fill="CFF0FC"/>
          </w:tcPr>
          <w:p>
            <w:pPr>
              <w:spacing w:after="0"/>
              <w:rPr>
                <w:sz w:val="15"/>
                <w:szCs w:val="15"/>
                <w:color w:val="auto"/>
              </w:rPr>
            </w:pPr>
          </w:p>
        </w:tc>
      </w:tr>
      <w:tr>
        <w:trPr>
          <w:trHeight w:val="175"/>
        </w:trPr>
        <w:tc>
          <w:tcPr>
            <w:tcW w:w="419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9,847</w:t>
            </w:r>
          </w:p>
        </w:tc>
        <w:tc>
          <w:tcPr>
            <w:tcW w:w="120" w:type="dxa"/>
            <w:vAlign w:val="bottom"/>
          </w:tcPr>
          <w:p>
            <w:pPr>
              <w:spacing w:after="0"/>
              <w:rPr>
                <w:sz w:val="15"/>
                <w:szCs w:val="15"/>
                <w:color w:val="auto"/>
              </w:rPr>
            </w:pPr>
          </w:p>
        </w:tc>
      </w:tr>
      <w:tr>
        <w:trPr>
          <w:trHeight w:val="161"/>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Issuance of common stock from private placement, net of issuance</w:t>
            </w:r>
          </w:p>
        </w:tc>
        <w:tc>
          <w:tcPr>
            <w:tcW w:w="11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 w:type="dxa"/>
            <w:vAlign w:val="bottom"/>
            <w:shd w:val="clear" w:color="auto" w:fill="CFF0FC"/>
          </w:tcPr>
          <w:p>
            <w:pPr>
              <w:spacing w:after="0"/>
              <w:rPr>
                <w:sz w:val="13"/>
                <w:szCs w:val="13"/>
                <w:color w:val="auto"/>
              </w:rPr>
            </w:pPr>
          </w:p>
        </w:tc>
        <w:tc>
          <w:tcPr>
            <w:tcW w:w="99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5"/>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costs</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2,793,562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52,656</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shd w:val="clear" w:color="auto" w:fill="CFF0FC"/>
          </w:tcPr>
          <w:p>
            <w:pPr>
              <w:spacing w:after="0"/>
              <w:rPr>
                <w:sz w:val="15"/>
                <w:szCs w:val="15"/>
                <w:color w:val="auto"/>
              </w:rPr>
            </w:pPr>
          </w:p>
        </w:tc>
        <w:tc>
          <w:tcPr>
            <w:tcW w:w="99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52,662</w:t>
            </w:r>
          </w:p>
        </w:tc>
        <w:tc>
          <w:tcPr>
            <w:tcW w:w="120" w:type="dxa"/>
            <w:vAlign w:val="bottom"/>
            <w:shd w:val="clear" w:color="auto" w:fill="CFF0FC"/>
          </w:tcPr>
          <w:p>
            <w:pPr>
              <w:spacing w:after="0"/>
              <w:rPr>
                <w:sz w:val="15"/>
                <w:szCs w:val="15"/>
                <w:color w:val="auto"/>
              </w:rPr>
            </w:pPr>
          </w:p>
        </w:tc>
      </w:tr>
      <w:tr>
        <w:trPr>
          <w:trHeight w:val="175"/>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tcPr>
          <w:p>
            <w:pPr>
              <w:spacing w:after="0"/>
              <w:rPr>
                <w:sz w:val="15"/>
                <w:szCs w:val="15"/>
                <w:color w:val="auto"/>
              </w:rPr>
            </w:pPr>
          </w:p>
        </w:tc>
      </w:tr>
      <w:tr>
        <w:trPr>
          <w:trHeight w:val="175"/>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tcBorders>
              <w:bottom w:val="single" w:sz="8" w:color="auto"/>
            </w:tcBorders>
            <w:shd w:val="clear" w:color="auto" w:fill="CFF0FC"/>
          </w:tcPr>
          <w:p>
            <w:pPr>
              <w:spacing w:after="0"/>
              <w:rPr>
                <w:sz w:val="15"/>
                <w:szCs w:val="15"/>
                <w:color w:val="auto"/>
              </w:rPr>
            </w:pPr>
          </w:p>
        </w:tc>
        <w:tc>
          <w:tcPr>
            <w:tcW w:w="99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(116,914</w:t>
            </w:r>
          </w:p>
        </w:tc>
        <w:tc>
          <w:tcPr>
            <w:tcW w:w="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shd w:val="clear" w:color="auto" w:fill="CFF0FC"/>
              </w:rPr>
              <w:t>)</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(116,914</w:t>
            </w:r>
          </w:p>
        </w:tc>
        <w:tc>
          <w:tcPr>
            <w:tcW w:w="1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8"/>
                <w:szCs w:val="8"/>
                <w:color w:val="auto"/>
                <w:w w:val="73"/>
                <w:shd w:val="clear" w:color="auto" w:fill="CFF0FC"/>
              </w:rPr>
              <w:t>)</w:t>
            </w:r>
          </w:p>
        </w:tc>
      </w:tr>
      <w:tr>
        <w:trPr>
          <w:trHeight w:val="165"/>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6,238,799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0" w:type="dxa"/>
            <w:vAlign w:val="bottom"/>
            <w:gridSpan w:val="3"/>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553,623</w:t>
            </w:r>
          </w:p>
        </w:tc>
        <w:tc>
          <w:tcPr>
            <w:tcW w:w="120" w:type="dxa"/>
            <w:vAlign w:val="bottom"/>
          </w:tcPr>
          <w:p>
            <w:pPr>
              <w:spacing w:after="0"/>
              <w:rPr>
                <w:sz w:val="14"/>
                <w:szCs w:val="14"/>
                <w:color w:val="auto"/>
              </w:rPr>
            </w:pPr>
          </w:p>
        </w:tc>
        <w:tc>
          <w:tcPr>
            <w:tcW w:w="29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9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(456,994 )</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96,664</w:t>
            </w:r>
          </w:p>
        </w:tc>
        <w:tc>
          <w:tcPr>
            <w:tcW w:w="120" w:type="dxa"/>
            <w:vAlign w:val="bottom"/>
          </w:tcPr>
          <w:p>
            <w:pPr>
              <w:spacing w:after="0"/>
              <w:rPr>
                <w:sz w:val="14"/>
                <w:szCs w:val="14"/>
                <w:color w:val="auto"/>
              </w:rPr>
            </w:pPr>
          </w:p>
        </w:tc>
      </w:tr>
      <w:tr>
        <w:trPr>
          <w:trHeight w:val="151"/>
        </w:trPr>
        <w:tc>
          <w:tcPr>
            <w:tcW w:w="4190" w:type="dxa"/>
            <w:vAlign w:val="bottom"/>
            <w:tcBorders>
              <w:top w:val="single" w:sz="8" w:color="CFF0FC"/>
            </w:tcBorders>
            <w:shd w:val="clear" w:color="auto" w:fill="CFF0FC"/>
          </w:tcPr>
          <w:p>
            <w:pPr>
              <w:ind w:left="160"/>
              <w:spacing w:after="0" w:line="151" w:lineRule="exact"/>
              <w:rPr>
                <w:sz w:val="20"/>
                <w:szCs w:val="20"/>
                <w:color w:val="auto"/>
              </w:rPr>
            </w:pPr>
            <w:r>
              <w:rPr>
                <w:rFonts w:ascii="Times New Roman" w:cs="Times New Roman" w:eastAsia="Times New Roman" w:hAnsi="Times New Roman"/>
                <w:sz w:val="14"/>
                <w:szCs w:val="14"/>
                <w:color w:val="auto"/>
              </w:rPr>
              <w:t>Issuance of common stock upon vesting of RSUs, net of shares</w:t>
            </w:r>
          </w:p>
        </w:tc>
        <w:tc>
          <w:tcPr>
            <w:tcW w:w="11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30" w:type="dxa"/>
            <w:vAlign w:val="bottom"/>
            <w:tcBorders>
              <w:top w:val="single" w:sz="8" w:color="auto"/>
            </w:tcBorders>
            <w:shd w:val="clear" w:color="auto" w:fill="CFF0FC"/>
          </w:tcPr>
          <w:p>
            <w:pPr>
              <w:spacing w:after="0"/>
              <w:rPr>
                <w:sz w:val="13"/>
                <w:szCs w:val="13"/>
                <w:color w:val="auto"/>
              </w:rPr>
            </w:pPr>
          </w:p>
        </w:tc>
        <w:tc>
          <w:tcPr>
            <w:tcW w:w="99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withheld for taxes, exercise of stock options, and issuance of common</w:t>
            </w:r>
          </w:p>
        </w:tc>
        <w:tc>
          <w:tcPr>
            <w:tcW w:w="11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 w:type="dxa"/>
            <w:vAlign w:val="bottom"/>
            <w:shd w:val="clear" w:color="auto" w:fill="CFF0FC"/>
          </w:tcPr>
          <w:p>
            <w:pPr>
              <w:spacing w:after="0"/>
              <w:rPr>
                <w:sz w:val="14"/>
                <w:szCs w:val="14"/>
                <w:color w:val="auto"/>
              </w:rPr>
            </w:pPr>
          </w:p>
        </w:tc>
        <w:tc>
          <w:tcPr>
            <w:tcW w:w="99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4"/>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stock under ESPP</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115,297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shd w:val="clear" w:color="auto" w:fill="CFF0FC"/>
          </w:tcPr>
          <w:p>
            <w:pPr>
              <w:spacing w:after="0"/>
              <w:rPr>
                <w:sz w:val="15"/>
                <w:szCs w:val="15"/>
                <w:color w:val="auto"/>
              </w:rPr>
            </w:pPr>
          </w:p>
        </w:tc>
        <w:tc>
          <w:tcPr>
            <w:tcW w:w="99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20" w:type="dxa"/>
            <w:vAlign w:val="bottom"/>
            <w:shd w:val="clear" w:color="auto" w:fill="CFF0FC"/>
          </w:tcPr>
          <w:p>
            <w:pPr>
              <w:spacing w:after="0"/>
              <w:rPr>
                <w:sz w:val="15"/>
                <w:szCs w:val="15"/>
                <w:color w:val="auto"/>
              </w:rPr>
            </w:pPr>
          </w:p>
        </w:tc>
      </w:tr>
      <w:tr>
        <w:trPr>
          <w:trHeight w:val="175"/>
        </w:trPr>
        <w:tc>
          <w:tcPr>
            <w:tcW w:w="419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from at-the-market sales agreement</w:t>
            </w: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1,910,861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70,106</w:t>
            </w:r>
          </w:p>
        </w:tc>
        <w:tc>
          <w:tcPr>
            <w:tcW w:w="120" w:type="dxa"/>
            <w:vAlign w:val="bottom"/>
          </w:tcPr>
          <w:p>
            <w:pPr>
              <w:spacing w:after="0"/>
              <w:rPr>
                <w:sz w:val="15"/>
                <w:szCs w:val="15"/>
                <w:color w:val="auto"/>
              </w:rPr>
            </w:pPr>
          </w:p>
        </w:tc>
      </w:tr>
      <w:tr>
        <w:trPr>
          <w:trHeight w:val="175"/>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18,912</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shd w:val="clear" w:color="auto" w:fill="CFF0FC"/>
          </w:tcPr>
          <w:p>
            <w:pPr>
              <w:spacing w:after="0"/>
              <w:rPr>
                <w:sz w:val="15"/>
                <w:szCs w:val="15"/>
                <w:color w:val="auto"/>
              </w:rPr>
            </w:pPr>
          </w:p>
        </w:tc>
        <w:tc>
          <w:tcPr>
            <w:tcW w:w="99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18,912</w:t>
            </w:r>
          </w:p>
        </w:tc>
        <w:tc>
          <w:tcPr>
            <w:tcW w:w="120" w:type="dxa"/>
            <w:vAlign w:val="bottom"/>
            <w:shd w:val="clear" w:color="auto" w:fill="CFF0FC"/>
          </w:tcPr>
          <w:p>
            <w:pPr>
              <w:spacing w:after="0"/>
              <w:rPr>
                <w:sz w:val="15"/>
                <w:szCs w:val="15"/>
                <w:color w:val="auto"/>
              </w:rPr>
            </w:pPr>
          </w:p>
        </w:tc>
      </w:tr>
      <w:tr>
        <w:trPr>
          <w:trHeight w:val="161"/>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Issuance of common stock from private placement, net of issuance</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9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13,876,032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149,883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149,885</w:t>
            </w:r>
          </w:p>
        </w:tc>
        <w:tc>
          <w:tcPr>
            <w:tcW w:w="120" w:type="dxa"/>
            <w:vAlign w:val="bottom"/>
          </w:tcPr>
          <w:p>
            <w:pPr>
              <w:spacing w:after="0"/>
              <w:rPr>
                <w:sz w:val="15"/>
                <w:szCs w:val="15"/>
                <w:color w:val="auto"/>
              </w:rPr>
            </w:pPr>
          </w:p>
        </w:tc>
      </w:tr>
      <w:tr>
        <w:trPr>
          <w:trHeight w:val="175"/>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Issuance of common stock from exercise of pre-funded warrants</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5,079,207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86,190</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shd w:val="clear" w:color="auto" w:fill="CFF0FC"/>
          </w:tcPr>
          <w:p>
            <w:pPr>
              <w:spacing w:after="0"/>
              <w:rPr>
                <w:sz w:val="15"/>
                <w:szCs w:val="15"/>
                <w:color w:val="auto"/>
              </w:rPr>
            </w:pPr>
          </w:p>
        </w:tc>
        <w:tc>
          <w:tcPr>
            <w:tcW w:w="99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86,191</w:t>
            </w:r>
          </w:p>
        </w:tc>
        <w:tc>
          <w:tcPr>
            <w:tcW w:w="120" w:type="dxa"/>
            <w:vAlign w:val="bottom"/>
            <w:shd w:val="clear" w:color="auto" w:fill="CFF0FC"/>
          </w:tcPr>
          <w:p>
            <w:pPr>
              <w:spacing w:after="0"/>
              <w:rPr>
                <w:sz w:val="15"/>
                <w:szCs w:val="15"/>
                <w:color w:val="auto"/>
              </w:rPr>
            </w:pPr>
          </w:p>
        </w:tc>
      </w:tr>
      <w:tr>
        <w:trPr>
          <w:trHeight w:val="161"/>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Issuance of common stock from underwritten offering, net of issuance</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99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107,966</w:t>
            </w:r>
          </w:p>
        </w:tc>
        <w:tc>
          <w:tcPr>
            <w:tcW w:w="120" w:type="dxa"/>
            <w:vAlign w:val="bottom"/>
          </w:tcPr>
          <w:p>
            <w:pPr>
              <w:spacing w:after="0"/>
              <w:rPr>
                <w:sz w:val="15"/>
                <w:szCs w:val="15"/>
                <w:color w:val="auto"/>
              </w:rPr>
            </w:pPr>
          </w:p>
        </w:tc>
      </w:tr>
      <w:tr>
        <w:trPr>
          <w:trHeight w:val="175"/>
        </w:trPr>
        <w:tc>
          <w:tcPr>
            <w:tcW w:w="41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 w:type="dxa"/>
            <w:vAlign w:val="bottom"/>
            <w:shd w:val="clear" w:color="auto" w:fill="CFF0FC"/>
          </w:tcPr>
          <w:p>
            <w:pPr>
              <w:spacing w:after="0"/>
              <w:rPr>
                <w:sz w:val="15"/>
                <w:szCs w:val="15"/>
                <w:color w:val="auto"/>
              </w:rPr>
            </w:pPr>
          </w:p>
        </w:tc>
        <w:tc>
          <w:tcPr>
            <w:tcW w:w="99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spacing w:after="0"/>
              <w:rPr>
                <w:sz w:val="15"/>
                <w:szCs w:val="15"/>
                <w:color w:val="auto"/>
              </w:rPr>
            </w:pPr>
          </w:p>
        </w:tc>
      </w:tr>
      <w:tr>
        <w:trPr>
          <w:trHeight w:val="175"/>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90" w:type="dxa"/>
            <w:vAlign w:val="bottom"/>
          </w:tcPr>
          <w:p>
            <w:pPr>
              <w:spacing w:after="0"/>
              <w:rPr>
                <w:sz w:val="15"/>
                <w:szCs w:val="15"/>
                <w:color w:val="auto"/>
              </w:rPr>
            </w:pPr>
          </w:p>
        </w:tc>
        <w:tc>
          <w:tcPr>
            <w:tcW w:w="30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(695,981 )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(695,981 )</w:t>
            </w:r>
          </w:p>
        </w:tc>
      </w:tr>
      <w:tr>
        <w:trPr>
          <w:trHeight w:val="165"/>
        </w:trPr>
        <w:tc>
          <w:tcPr>
            <w:tcW w:w="419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1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38,720,196</w:t>
            </w: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2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988,604</w:t>
            </w: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30" w:type="dxa"/>
            <w:vAlign w:val="bottom"/>
            <w:tcBorders>
              <w:top w:val="single" w:sz="8" w:color="auto"/>
              <w:bottom w:val="single" w:sz="8" w:color="auto"/>
            </w:tcBorders>
            <w:shd w:val="clear" w:color="auto" w:fill="CFF0FC"/>
          </w:tcPr>
          <w:p>
            <w:pPr>
              <w:spacing w:after="0"/>
              <w:rPr>
                <w:sz w:val="14"/>
                <w:szCs w:val="14"/>
                <w:color w:val="auto"/>
              </w:rPr>
            </w:pPr>
          </w:p>
        </w:tc>
        <w:tc>
          <w:tcPr>
            <w:tcW w:w="99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auto"/>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(1,152,975</w:t>
            </w:r>
          </w:p>
        </w:tc>
        <w:tc>
          <w:tcPr>
            <w:tcW w:w="100" w:type="dxa"/>
            <w:vAlign w:val="bottom"/>
            <w:tcBorders>
              <w:top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shd w:val="clear" w:color="auto" w:fill="CFF0FC"/>
              </w:rPr>
              <w:t>)</w:t>
            </w:r>
          </w:p>
        </w:tc>
        <w:tc>
          <w:tcPr>
            <w:tcW w:w="20" w:type="dxa"/>
            <w:vAlign w:val="bottom"/>
            <w:tcBorders>
              <w:top w:val="single" w:sz="8" w:color="CFF0FC"/>
              <w:bottom w:val="single" w:sz="8" w:color="auto"/>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(164,312</w:t>
            </w:r>
          </w:p>
        </w:tc>
        <w:tc>
          <w:tcPr>
            <w:tcW w:w="120" w:type="dxa"/>
            <w:vAlign w:val="bottom"/>
            <w:tcBorders>
              <w:top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8"/>
                <w:szCs w:val="8"/>
                <w:color w:val="auto"/>
                <w:w w:val="73"/>
                <w:shd w:val="clear" w:color="auto" w:fill="CFF0FC"/>
              </w:rPr>
              <w:t>)</w:t>
            </w:r>
          </w:p>
        </w:tc>
      </w:tr>
      <w:tr>
        <w:trPr>
          <w:trHeight w:val="20"/>
        </w:trPr>
        <w:tc>
          <w:tcPr>
            <w:tcW w:w="41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99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-2108835</wp:posOffset>
                </wp:positionV>
                <wp:extent cx="8229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0499pt" to="648pt,-16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2745105</wp:posOffset>
                </wp:positionH>
                <wp:positionV relativeFrom="paragraph">
                  <wp:posOffset>-1556385</wp:posOffset>
                </wp:positionV>
                <wp:extent cx="66929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2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15pt,-122.5499pt" to="268.85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3592830</wp:posOffset>
                </wp:positionH>
                <wp:positionV relativeFrom="paragraph">
                  <wp:posOffset>-1556385</wp:posOffset>
                </wp:positionV>
                <wp:extent cx="56959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5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9pt,-122.5499pt" to="327.75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4341495</wp:posOffset>
                </wp:positionH>
                <wp:positionV relativeFrom="paragraph">
                  <wp:posOffset>-1556385</wp:posOffset>
                </wp:positionV>
                <wp:extent cx="82677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85pt,-122.5499pt" to="406.95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5347970</wp:posOffset>
                </wp:positionH>
                <wp:positionV relativeFrom="paragraph">
                  <wp:posOffset>-1556385</wp:posOffset>
                </wp:positionV>
                <wp:extent cx="82677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1pt,-122.5499pt" to="486.2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6355080</wp:posOffset>
                </wp:positionH>
                <wp:positionV relativeFrom="paragraph">
                  <wp:posOffset>-1556385</wp:posOffset>
                </wp:positionV>
                <wp:extent cx="82677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4pt,-122.5499pt" to="565.5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7361555</wp:posOffset>
                </wp:positionH>
                <wp:positionV relativeFrom="paragraph">
                  <wp:posOffset>-1556385</wp:posOffset>
                </wp:positionV>
                <wp:extent cx="78549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54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65pt,-122.5499pt" to="641.5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-1122680</wp:posOffset>
                </wp:positionV>
                <wp:extent cx="8229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3999pt" to="648pt,-88.3999pt" o:allowincell="f" strokecolor="#FFFFFF" strokeweight="0.72pt"/>
            </w:pict>
          </mc:Fallback>
        </mc:AlternateContent>
      </w:r>
    </w:p>
    <w:p>
      <w:pPr>
        <w:spacing w:after="0" w:line="8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5840" w:h="12240" w:orient="landscape"/>
          <w:cols w:equalWidth="0" w:num="1">
            <w:col w:w="12960"/>
          </w:cols>
          <w:pgMar w:left="1440" w:top="1416" w:right="1440" w:bottom="175" w:gutter="0" w:footer="0" w:header="0"/>
        </w:sectPr>
      </w:pPr>
    </w:p>
    <w:bookmarkStart w:id="109" w:name="page110"/>
    <w:bookmarkEnd w:id="109"/>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VOR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7"/>
                <w:szCs w:val="17"/>
                <w:color w:val="auto"/>
              </w:rPr>
            </w:pPr>
          </w:p>
        </w:tc>
        <w:tc>
          <w:tcPr>
            <w:tcW w:w="286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FF0FC"/>
            </w:tcBorders>
            <w:gridSpan w:val="3"/>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FF0FC"/>
            </w:tcBorders>
          </w:tcPr>
          <w:p>
            <w:pPr>
              <w:spacing w:after="0"/>
              <w:rPr>
                <w:sz w:val="16"/>
                <w:szCs w:val="16"/>
                <w:color w:val="auto"/>
              </w:rPr>
            </w:pPr>
          </w:p>
        </w:tc>
        <w:tc>
          <w:tcPr>
            <w:tcW w:w="140" w:type="dxa"/>
            <w:vAlign w:val="bottom"/>
            <w:tcBorders>
              <w:top w:val="single" w:sz="8" w:color="auto"/>
              <w:bottom w:val="single" w:sz="8" w:color="CFF0FC"/>
            </w:tcBorders>
          </w:tcPr>
          <w:p>
            <w:pPr>
              <w:spacing w:after="0"/>
              <w:rPr>
                <w:sz w:val="16"/>
                <w:szCs w:val="16"/>
                <w:color w:val="auto"/>
              </w:rPr>
            </w:pPr>
          </w:p>
        </w:tc>
        <w:tc>
          <w:tcPr>
            <w:tcW w:w="20" w:type="dxa"/>
            <w:vAlign w:val="bottom"/>
            <w:tcBorders>
              <w:top w:val="single" w:sz="8" w:color="auto"/>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operations: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expense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Non-cash lease expense</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Transaction costs for issuance of pre-funded warrants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Interest amortization on marketable securities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198"/>
        </w:trPr>
        <w:tc>
          <w:tcPr>
            <w:tcW w:w="64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Issuance of pre-funded warrants in connection with the acquisition of in-process research</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and development</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177,377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198"/>
        </w:trPr>
        <w:tc>
          <w:tcPr>
            <w:tcW w:w="62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60" w:type="dxa"/>
            <w:vAlign w:val="bottom"/>
            <w:tcBorders>
              <w:bottom w:val="single" w:sz="8" w:color="CFF0FC"/>
            </w:tcBorders>
          </w:tcPr>
          <w:p>
            <w:pPr>
              <w:ind w:left="60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(99,660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188"/>
        </w:trPr>
        <w:tc>
          <w:tcPr>
            <w:tcW w:w="6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198"/>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198"/>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260" w:type="dxa"/>
            <w:vAlign w:val="bottom"/>
            <w:tcBorders>
              <w:top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(48,802</w:t>
            </w: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96,857</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the issuance of common stock from private placement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149,999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00" w:type="dxa"/>
            <w:vAlign w:val="bottom"/>
            <w:gridSpan w:val="3"/>
          </w:tcPr>
          <w:p>
            <w:pPr>
              <w:ind w:left="200"/>
              <w:spacing w:after="0" w:line="183" w:lineRule="exact"/>
              <w:rPr>
                <w:sz w:val="20"/>
                <w:szCs w:val="20"/>
                <w:color w:val="auto"/>
              </w:rPr>
            </w:pPr>
            <w:r>
              <w:rPr>
                <w:rFonts w:ascii="Times New Roman" w:cs="Times New Roman" w:eastAsia="Times New Roman" w:hAnsi="Times New Roman"/>
                <w:sz w:val="16"/>
                <w:szCs w:val="16"/>
                <w:color w:val="auto"/>
              </w:rPr>
              <w:t>Proceeds from the issuance of common stock from underwritten public offering, net of</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underwriting discount and commissions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the issuance of pre-funded warrants from private placement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Payment of issuance costs related to underwritten public offering and private placements</w:t>
            </w:r>
          </w:p>
        </w:tc>
        <w:tc>
          <w:tcPr>
            <w:tcW w:w="1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(1,325 )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(2,325 )</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the issuance of common stock from at-the-market sales agreement, net of</w:t>
            </w:r>
          </w:p>
        </w:tc>
        <w:tc>
          <w:tcPr>
            <w:tcW w:w="14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costs</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70,106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Payment for tax withholdings upon vesting of restricted stock unit awards</w:t>
            </w:r>
          </w:p>
        </w:tc>
        <w:tc>
          <w:tcPr>
            <w:tcW w:w="1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stock option exercises and the issuance of shares under ESPP</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Borders>
              <w:bottom w:val="single" w:sz="8" w:color="CFF0FC"/>
            </w:tcBorders>
            <w:gridSpan w:val="3"/>
          </w:tcPr>
          <w:p>
            <w:pPr>
              <w:ind w:left="4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503,807</w:t>
            </w: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53,392</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 equivalents</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312,292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0" w:type="dxa"/>
            <w:vAlign w:val="bottom"/>
            <w:gridSpan w:val="3"/>
          </w:tcPr>
          <w:p>
            <w:pPr>
              <w:ind w:left="200"/>
              <w:spacing w:after="0" w:line="183" w:lineRule="exact"/>
              <w:rPr>
                <w:sz w:val="20"/>
                <w:szCs w:val="20"/>
                <w:color w:val="auto"/>
              </w:rPr>
            </w:pPr>
            <w:r>
              <w:rPr>
                <w:rFonts w:ascii="Times New Roman" w:cs="Times New Roman" w:eastAsia="Times New Roman" w:hAnsi="Times New Roman"/>
                <w:sz w:val="16"/>
                <w:szCs w:val="16"/>
                <w:color w:val="auto"/>
              </w:rPr>
              <w:t>Cash, cash equivalents and restricted cash equivalents,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84,362</w:t>
            </w:r>
          </w:p>
        </w:tc>
        <w:tc>
          <w:tcPr>
            <w:tcW w:w="8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396,654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84,362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color w:val="auto"/>
              </w:rPr>
              <w:t>Financing costs associated with the sale of common stock included in accounts payable and</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4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260" w:type="dxa"/>
            <w:vAlign w:val="bottom"/>
            <w:tcBorders>
              <w:top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color w:val="auto"/>
              </w:rPr>
              <w:t>Issuance of pre-funded warrants in connection with the acquisition of in-process research and</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4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177,377</w:t>
            </w:r>
          </w:p>
        </w:tc>
        <w:tc>
          <w:tcPr>
            <w:tcW w:w="8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-5777230</wp:posOffset>
                </wp:positionV>
                <wp:extent cx="59436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4.8999pt" to="468pt,-454.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-5525770</wp:posOffset>
                </wp:positionV>
                <wp:extent cx="59436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5.0999pt" to="468pt,-435.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-5274310</wp:posOffset>
                </wp:positionV>
                <wp:extent cx="59436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5.2999pt" to="468pt,-415.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-4403090</wp:posOffset>
                </wp:positionV>
                <wp:extent cx="59436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6.6999pt" to="468pt,-346.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-4151630</wp:posOffset>
                </wp:positionV>
                <wp:extent cx="59436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6.8999pt" to="468pt,-326.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-3900170</wp:posOffset>
                </wp:positionV>
                <wp:extent cx="59436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7.0999pt" to="468pt,-307.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4065905</wp:posOffset>
                </wp:positionH>
                <wp:positionV relativeFrom="paragraph">
                  <wp:posOffset>-266700</wp:posOffset>
                </wp:positionV>
                <wp:extent cx="83566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66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15pt,-21pt" to="385.95pt,-21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5049520</wp:posOffset>
                </wp:positionH>
                <wp:positionV relativeFrom="paragraph">
                  <wp:posOffset>-266700</wp:posOffset>
                </wp:positionV>
                <wp:extent cx="8350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502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6pt,-21pt" to="463.35pt,-21pt" o:allowincell="f" strokecolor="#FFFFFF" strokeweight="0.78pt"/>
            </w:pict>
          </mc:Fallback>
        </mc:AlternateContent>
      </w:r>
    </w:p>
    <w:p>
      <w:pPr>
        <w:spacing w:after="0" w:line="201" w:lineRule="exact"/>
        <w:rPr>
          <w:sz w:val="20"/>
          <w:szCs w:val="20"/>
          <w:color w:val="auto"/>
        </w:rPr>
      </w:pPr>
    </w:p>
    <w:p>
      <w:pPr>
        <w:ind w:right="420" w:firstLine="490"/>
        <w:spacing w:after="0" w:line="253" w:lineRule="auto"/>
        <w:rPr>
          <w:sz w:val="20"/>
          <w:szCs w:val="20"/>
          <w:color w:val="auto"/>
        </w:rPr>
      </w:pPr>
      <w:r>
        <w:rPr>
          <w:rFonts w:ascii="Times New Roman" w:cs="Times New Roman" w:eastAsia="Times New Roman" w:hAnsi="Times New Roman"/>
          <w:sz w:val="20"/>
          <w:szCs w:val="20"/>
          <w:color w:val="auto"/>
        </w:rPr>
        <w:t>A reconciliation of the cash, cash equivalents and restricted cash reported within the consolidated balance sheets that sum to the total of the same amounts shown in the statements of cash flows is as follows:</w:t>
      </w:r>
    </w:p>
    <w:tbl>
      <w:tblPr>
        <w:tblLayout w:type="fixed"/>
        <w:tblInd w:w="0" w:type="dxa"/>
        <w:tblCellMar>
          <w:top w:w="0" w:type="dxa"/>
          <w:left w:w="0" w:type="dxa"/>
          <w:bottom w:w="0" w:type="dxa"/>
          <w:right w:w="0" w:type="dxa"/>
        </w:tblCellMar>
      </w:tblPr>
      <w:tr>
        <w:trPr>
          <w:trHeight w:val="179"/>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5"/>
                <w:szCs w:val="15"/>
                <w:color w:val="auto"/>
              </w:rPr>
            </w:pPr>
          </w:p>
        </w:tc>
        <w:tc>
          <w:tcPr>
            <w:tcW w:w="2780" w:type="dxa"/>
            <w:vAlign w:val="bottom"/>
            <w:gridSpan w:val="6"/>
          </w:tcPr>
          <w:p>
            <w:pPr>
              <w:jc w:val="right"/>
              <w:ind w:right="360"/>
              <w:spacing w:after="0" w:line="179" w:lineRule="exact"/>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6420" w:type="dxa"/>
            <w:vAlign w:val="bottom"/>
            <w:tcBorders>
              <w:bottom w:val="single" w:sz="8" w:color="CFF0FC"/>
            </w:tcBorders>
            <w:gridSpan w:val="2"/>
            <w:vMerge w:val="continue"/>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20"/>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FF0FC"/>
            </w:tcBorders>
          </w:tcPr>
          <w:p>
            <w:pPr>
              <w:spacing w:after="0"/>
              <w:rPr>
                <w:sz w:val="15"/>
                <w:szCs w:val="15"/>
                <w:color w:val="auto"/>
              </w:rPr>
            </w:pPr>
          </w:p>
        </w:tc>
        <w:tc>
          <w:tcPr>
            <w:tcW w:w="20" w:type="dxa"/>
            <w:vAlign w:val="bottom"/>
            <w:tcBorders>
              <w:top w:val="single" w:sz="8" w:color="auto"/>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0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396,486</w:t>
            </w:r>
          </w:p>
        </w:tc>
        <w:tc>
          <w:tcPr>
            <w:tcW w:w="3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81,949</w:t>
            </w:r>
          </w:p>
        </w:tc>
        <w:tc>
          <w:tcPr>
            <w:tcW w:w="0" w:type="dxa"/>
            <w:vAlign w:val="bottom"/>
          </w:tcPr>
          <w:p>
            <w:pPr>
              <w:spacing w:after="0"/>
              <w:rPr>
                <w:sz w:val="1"/>
                <w:szCs w:val="1"/>
                <w:color w:val="auto"/>
              </w:rPr>
            </w:pPr>
          </w:p>
        </w:tc>
      </w:tr>
      <w:tr>
        <w:trPr>
          <w:trHeight w:val="184"/>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16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2,413</w:t>
            </w:r>
          </w:p>
        </w:tc>
        <w:tc>
          <w:tcPr>
            <w:tcW w:w="0" w:type="dxa"/>
            <w:vAlign w:val="bottom"/>
          </w:tcPr>
          <w:p>
            <w:pPr>
              <w:spacing w:after="0"/>
              <w:rPr>
                <w:sz w:val="1"/>
                <w:szCs w:val="1"/>
                <w:color w:val="auto"/>
              </w:rPr>
            </w:pPr>
          </w:p>
        </w:tc>
      </w:tr>
      <w:tr>
        <w:trPr>
          <w:trHeight w:val="174"/>
        </w:trPr>
        <w:tc>
          <w:tcPr>
            <w:tcW w:w="6420" w:type="dxa"/>
            <w:vAlign w:val="bottom"/>
            <w:tcBorders>
              <w:top w:val="single" w:sz="8" w:color="CFF0FC"/>
            </w:tcBorders>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as shown on the</w:t>
            </w:r>
          </w:p>
        </w:tc>
        <w:tc>
          <w:tcPr>
            <w:tcW w:w="1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statements of cash flows</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396,654</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84,362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1440" w:right="1440" w:bottom="175" w:gutter="0" w:footer="0" w:header="0"/>
        </w:sectPr>
      </w:pPr>
    </w:p>
    <w:bookmarkStart w:id="110" w:name="page111"/>
    <w:bookmarkEnd w:id="110"/>
    <w:p>
      <w:pPr>
        <w:ind w:left="14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1422" w:right="1440" w:bottom="175" w:gutter="0" w:footer="0" w:header="0"/>
          <w:type w:val="continuous"/>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VOR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w:t>
      </w:r>
    </w:p>
    <w:p>
      <w:pPr>
        <w:spacing w:after="0" w:line="124"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0"/>
          <w:szCs w:val="20"/>
          <w:color w:val="auto"/>
        </w:rPr>
        <w:t>Vor Biopharma Inc. (the “Company”) is a clinical-stage company advancing telitacicept, a novel, dual-target recombinant fusion protein that inhibits both BLyS (BAFF) and APRIL—two key cytokines involved in B cell survival and autoantibody production. This dual-target mechanism reduces autoreactive B cells and autoantibody production, key drivers of autoimmune pathology. The Company is headquartered in Boston, Massachusetts. The Company was incorporated on December 30, 2015.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19" w:lineRule="exact"/>
        <w:rPr>
          <w:sz w:val="20"/>
          <w:szCs w:val="20"/>
          <w:color w:val="auto"/>
        </w:rPr>
      </w:pPr>
    </w:p>
    <w:p>
      <w:pPr>
        <w:ind w:right="60" w:firstLine="612"/>
        <w:spacing w:after="0" w:line="265" w:lineRule="auto"/>
        <w:rPr>
          <w:sz w:val="20"/>
          <w:szCs w:val="20"/>
          <w:color w:val="auto"/>
        </w:rPr>
      </w:pPr>
      <w:r>
        <w:rPr>
          <w:rFonts w:ascii="Times New Roman" w:cs="Times New Roman" w:eastAsia="Times New Roman" w:hAnsi="Times New Roman"/>
          <w:sz w:val="19"/>
          <w:szCs w:val="19"/>
          <w:color w:val="auto"/>
        </w:rPr>
        <w:t>The Company is subject to a number of risks common to development stage companies in the biotechnology industry, including, but not limited to, risks of failure of clinical trials, dependence on key personnel, protection of proprietary technology, reliance on third party organizations, uncertainty of obtaining regulatory approval for any product candidate that it may develop, development by competitors of technological innovations, compliance with government regulations, adverse macroeconomic conditions, and the need to obtain additional financing.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9"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As of December 31, 2025, the Company had $455.2 million of cash, cash equivalents and marketable securities and an accumulated deficit of $1,153.0 million. The Company expects that its existing cash, cash equivalents and marketable securities will be sufficient to allow the Company to fund its current planned operations through at least a period of one year after the date the financial statements are issued. The Company anticipates that it will continue to incur significant operating losses for the next several years as it continues to develop its product candidate. As a result, the Company’s continued operations are dependent on its ability to raise additional funding. If the Company is unable to obtain additional funding on a timely basis, it may be forced to significantly curtail, delay, or discontinue one or more of its planned research or development programs or be unable to expand its operations.</w:t>
      </w:r>
    </w:p>
    <w:p>
      <w:pPr>
        <w:spacing w:after="0" w:line="202" w:lineRule="exact"/>
        <w:rPr>
          <w:sz w:val="20"/>
          <w:szCs w:val="20"/>
          <w:color w:val="auto"/>
        </w:rPr>
      </w:pPr>
    </w:p>
    <w:p>
      <w:pPr>
        <w:ind w:right="4940"/>
        <w:spacing w:after="0" w:line="387" w:lineRule="auto"/>
        <w:tabs>
          <w:tab w:leader="none" w:pos="200"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Summary of Significant Accounting Policies </w:t>
      </w:r>
      <w:r>
        <w:rPr>
          <w:rFonts w:ascii="Times New Roman" w:cs="Times New Roman" w:eastAsia="Times New Roman" w:hAnsi="Times New Roman"/>
          <w:sz w:val="19"/>
          <w:szCs w:val="19"/>
          <w:b w:val="1"/>
          <w:bCs w:val="1"/>
          <w:i w:val="1"/>
          <w:iCs w:val="1"/>
          <w:color w:val="auto"/>
        </w:rPr>
        <w:t>Basis of Presentation and Principles of Consolidation</w:t>
      </w:r>
    </w:p>
    <w:p>
      <w:pPr>
        <w:ind w:right="60" w:firstLine="612"/>
        <w:spacing w:after="0" w:line="24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or an Accounting Standards Update (“ASU”) issued by the Financial Accounting Standards Board (“FASB”). The accompanying consolidated financial statements include the accounts of the Company and its wholly owned subsidiaries. All intercompany accounts and transactions are eliminated upon consolidation.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September 2025 Reverse Stock Split</w:t>
      </w:r>
    </w:p>
    <w:p>
      <w:pPr>
        <w:spacing w:after="0" w:line="12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On August 25, 2025, the Company’s stockholders approved a proposal to authorize the Company’s board of directors to amend the Company’s Amended and Restated Certificate of Incorporation to effect a reverse stock split. The Board approved the reverse stock split on August 27, 2025 and, on September 18, 2025, the Company effected a 1-for-20 reverse stock split of its common stock. The par value and the number of authorized shares of common stock were not adjusted as a result of the reverse stock split. All share and per share amounts for all periods presented in these consolidated financial statements and the notes thereto have been adjusted retroactively, where applicable, to reflect the effect of this reverse stock split.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19" w:lineRule="exact"/>
        <w:rPr>
          <w:sz w:val="20"/>
          <w:szCs w:val="20"/>
          <w:color w:val="auto"/>
        </w:rPr>
      </w:pPr>
    </w:p>
    <w:p>
      <w:pPr>
        <w:ind w:right="100" w:firstLine="612"/>
        <w:spacing w:after="0" w:line="247"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GAAP requires the Company’s management to make estimates and assumptions that affect the reported amounts of assets and liabilities at the date of the consolidated financial statements and the reported amount of expenses during the reporting period. Actual results could differ from those estimates. Management considers many factors in selecting appropriate financial accounting policies in developing the estimates and assumptions that are used in the preparation of the consolidated financial statements. Management must apply significant judgment in this process. Management’s estimation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1416" w:right="1440" w:bottom="175" w:gutter="0" w:footer="0" w:header="0"/>
        </w:sectPr>
      </w:pPr>
    </w:p>
    <w:bookmarkStart w:id="112" w:name="page113"/>
    <w:bookmarkEnd w:id="112"/>
    <w:p>
      <w:pPr>
        <w:jc w:val="both"/>
        <w:spacing w:after="0" w:line="258" w:lineRule="auto"/>
        <w:rPr>
          <w:sz w:val="20"/>
          <w:szCs w:val="20"/>
          <w:color w:val="auto"/>
        </w:rPr>
      </w:pPr>
      <w:r>
        <w:rPr>
          <w:rFonts w:ascii="Times New Roman" w:cs="Times New Roman" w:eastAsia="Times New Roman" w:hAnsi="Times New Roman"/>
          <w:sz w:val="20"/>
          <w:szCs w:val="20"/>
          <w:color w:val="auto"/>
        </w:rPr>
        <w:t>process often may yield a range of potentially reasonable estimates and management must select an amount that falls within that range of reasonable estimates. Estimates are used in the following areas, among others: accrued expenses and stock-based compensation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19"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and discrete information is available for evaluation by the chief operating decision maker in deciding how to allocate resources and assess performance. The Company has one operating segment. The Company’s chief operating decision maker, its Chief Executive Officer, manages the Company’s operations on an aggregate basis for the purpose of allocating resources. Refer to Note 15 for more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9" w:lineRule="exact"/>
        <w:rPr>
          <w:sz w:val="20"/>
          <w:szCs w:val="20"/>
          <w:color w:val="auto"/>
        </w:rPr>
      </w:pPr>
    </w:p>
    <w:p>
      <w:pPr>
        <w:ind w:right="20" w:firstLine="612"/>
        <w:spacing w:after="0" w:line="258" w:lineRule="auto"/>
        <w:rPr>
          <w:sz w:val="20"/>
          <w:szCs w:val="20"/>
          <w:color w:val="auto"/>
        </w:rPr>
      </w:pPr>
      <w:r>
        <w:rPr>
          <w:rFonts w:ascii="Times New Roman" w:cs="Times New Roman" w:eastAsia="Times New Roman" w:hAnsi="Times New Roman"/>
          <w:sz w:val="20"/>
          <w:szCs w:val="20"/>
          <w:color w:val="auto"/>
        </w:rPr>
        <w:t>The Company considers highly-liquid investments purchased with an original maturity date of ninety days or less from the date of purchase to be cash equivalents. Cash and cash equivalents include cash held in banks and amounts held in money market funds. Cash equivalents are stated at cost, which approximates market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20" w:lineRule="exact"/>
        <w:rPr>
          <w:sz w:val="20"/>
          <w:szCs w:val="20"/>
          <w:color w:val="auto"/>
        </w:rPr>
      </w:pPr>
    </w:p>
    <w:p>
      <w:pPr>
        <w:jc w:val="both"/>
        <w:ind w:right="420" w:firstLine="612"/>
        <w:spacing w:after="0" w:line="258" w:lineRule="auto"/>
        <w:rPr>
          <w:sz w:val="20"/>
          <w:szCs w:val="20"/>
          <w:color w:val="auto"/>
        </w:rPr>
      </w:pPr>
      <w:r>
        <w:rPr>
          <w:rFonts w:ascii="Times New Roman" w:cs="Times New Roman" w:eastAsia="Times New Roman" w:hAnsi="Times New Roman"/>
          <w:sz w:val="20"/>
          <w:szCs w:val="20"/>
          <w:color w:val="auto"/>
        </w:rPr>
        <w:t>Investments in marketable debt securities are classified as available-for-sale. Marketable securities with maturities beyond one year may be classified as short-term based on their highly liquid nature and because such securities represent an investment of cash that is available for current operations.</w:t>
      </w:r>
    </w:p>
    <w:p>
      <w:pPr>
        <w:spacing w:after="0" w:line="68" w:lineRule="exact"/>
        <w:rPr>
          <w:sz w:val="20"/>
          <w:szCs w:val="20"/>
          <w:color w:val="auto"/>
        </w:rPr>
      </w:pPr>
    </w:p>
    <w:p>
      <w:pPr>
        <w:ind w:right="20" w:firstLine="612"/>
        <w:spacing w:after="0" w:line="258" w:lineRule="auto"/>
        <w:rPr>
          <w:sz w:val="20"/>
          <w:szCs w:val="20"/>
          <w:color w:val="auto"/>
        </w:rPr>
      </w:pPr>
      <w:r>
        <w:rPr>
          <w:rFonts w:ascii="Times New Roman" w:cs="Times New Roman" w:eastAsia="Times New Roman" w:hAnsi="Times New Roman"/>
          <w:sz w:val="20"/>
          <w:szCs w:val="20"/>
          <w:color w:val="auto"/>
        </w:rPr>
        <w:t>Available-for-sale marketable securities are reported at fair value at each balance sheet date. Amortization and accretion of premiums and discounts are recorded in interest income. Realized gains and losses are included as a component of other income (expense), net in the consolidated statements of operations.</w:t>
      </w:r>
    </w:p>
    <w:p>
      <w:pPr>
        <w:spacing w:after="0" w:line="68" w:lineRule="exact"/>
        <w:rPr>
          <w:sz w:val="20"/>
          <w:szCs w:val="20"/>
          <w:color w:val="auto"/>
        </w:rPr>
      </w:pPr>
    </w:p>
    <w:p>
      <w:pPr>
        <w:ind w:right="40" w:firstLine="612"/>
        <w:spacing w:after="0" w:line="244" w:lineRule="auto"/>
        <w:rPr>
          <w:sz w:val="20"/>
          <w:szCs w:val="20"/>
          <w:color w:val="auto"/>
        </w:rPr>
      </w:pPr>
      <w:r>
        <w:rPr>
          <w:rFonts w:ascii="Times New Roman" w:cs="Times New Roman" w:eastAsia="Times New Roman" w:hAnsi="Times New Roman"/>
          <w:sz w:val="20"/>
          <w:szCs w:val="20"/>
          <w:color w:val="auto"/>
        </w:rPr>
        <w:t>The Company evaluates its marketable securities with unrealized losses for impairment. When assessing marketable securities for unrealized declines in value, the Company considers whether the decline in value is related to a credit loss or non -credit loss. For credit losses, the Company reduces the marketable security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marketable security to fair value through a charge to the statement of operations and comprehensive loss, reported as a component of accumulated other comprehensive income (loss) in stockholders’ equity (deficit). No credit losses were recorded during the periods presented.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 Equivalents</w:t>
      </w:r>
    </w:p>
    <w:p>
      <w:pPr>
        <w:spacing w:after="0" w:line="119" w:lineRule="exact"/>
        <w:rPr>
          <w:sz w:val="20"/>
          <w:szCs w:val="20"/>
          <w:color w:val="auto"/>
        </w:rPr>
      </w:pPr>
    </w:p>
    <w:p>
      <w:pPr>
        <w:ind w:right="20" w:firstLine="612"/>
        <w:spacing w:after="0" w:line="278" w:lineRule="auto"/>
        <w:rPr>
          <w:sz w:val="20"/>
          <w:szCs w:val="20"/>
          <w:color w:val="auto"/>
        </w:rPr>
      </w:pPr>
      <w:r>
        <w:rPr>
          <w:rFonts w:ascii="Times New Roman" w:cs="Times New Roman" w:eastAsia="Times New Roman" w:hAnsi="Times New Roman"/>
          <w:sz w:val="20"/>
          <w:szCs w:val="20"/>
          <w:color w:val="auto"/>
        </w:rPr>
        <w:t>The Company had $0.2 million and $2.4 million of restricted cash equivalents in the form of a letter of credit related to a lease at December 31, 2025 and 2024, respectively.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120" w:lineRule="exact"/>
        <w:rPr>
          <w:sz w:val="20"/>
          <w:szCs w:val="20"/>
          <w:color w:val="auto"/>
        </w:rPr>
      </w:pPr>
    </w:p>
    <w:p>
      <w:pPr>
        <w:ind w:right="300" w:firstLine="612"/>
        <w:spacing w:after="0" w:line="278" w:lineRule="auto"/>
        <w:rPr>
          <w:sz w:val="20"/>
          <w:szCs w:val="20"/>
          <w:color w:val="auto"/>
        </w:rPr>
      </w:pPr>
      <w:r>
        <w:rPr>
          <w:rFonts w:ascii="Times New Roman" w:cs="Times New Roman" w:eastAsia="Times New Roman" w:hAnsi="Times New Roman"/>
          <w:sz w:val="20"/>
          <w:szCs w:val="20"/>
          <w:color w:val="auto"/>
        </w:rPr>
        <w:t>Comprehensive loss includes net loss, as well as other changes in stockholders’ equity (deficit) that result from transactions and economic events other than those with stockholders.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119" w:lineRule="exact"/>
        <w:rPr>
          <w:sz w:val="20"/>
          <w:szCs w:val="20"/>
          <w:color w:val="auto"/>
        </w:rPr>
      </w:pPr>
    </w:p>
    <w:p>
      <w:pPr>
        <w:ind w:right="20" w:firstLine="612"/>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primarily of cash and cash equivalents, restricted cash equivalents and marketable securities.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80" w:lineRule="exact"/>
        <w:rPr>
          <w:sz w:val="20"/>
          <w:szCs w:val="20"/>
          <w:color w:val="auto"/>
        </w:rPr>
      </w:pPr>
    </w:p>
    <w:p>
      <w:pPr>
        <w:ind w:right="280" w:firstLine="612"/>
        <w:spacing w:after="0" w:line="252" w:lineRule="auto"/>
        <w:rPr>
          <w:sz w:val="20"/>
          <w:szCs w:val="20"/>
          <w:color w:val="auto"/>
        </w:rPr>
      </w:pPr>
      <w:r>
        <w:rPr>
          <w:rFonts w:ascii="Times New Roman" w:cs="Times New Roman" w:eastAsia="Times New Roman" w:hAnsi="Times New Roman"/>
          <w:sz w:val="20"/>
          <w:szCs w:val="20"/>
          <w:color w:val="auto"/>
        </w:rPr>
        <w:t>The Company’s marketable securities may consist of money market funds and marketable debt securities, including corporate bonds and U.S. Treasury securities. The Company’s investment policy limits instruments to investment grade securities with high credit quality issuers with the objective to preserve capital and to maintain liquidity until the funds can be used in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1420" w:right="1440" w:bottom="175"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19" w:lineRule="exact"/>
        <w:rPr>
          <w:sz w:val="20"/>
          <w:szCs w:val="20"/>
          <w:color w:val="auto"/>
        </w:rPr>
      </w:pPr>
    </w:p>
    <w:p>
      <w:pPr>
        <w:jc w:val="both"/>
        <w:ind w:firstLine="612"/>
        <w:spacing w:after="0" w:line="262" w:lineRule="auto"/>
        <w:rPr>
          <w:sz w:val="20"/>
          <w:szCs w:val="20"/>
          <w:color w:val="auto"/>
        </w:rPr>
      </w:pPr>
      <w:r>
        <w:rPr>
          <w:rFonts w:ascii="Times New Roman" w:cs="Times New Roman" w:eastAsia="Times New Roman" w:hAnsi="Times New Roman"/>
          <w:sz w:val="19"/>
          <w:szCs w:val="19"/>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5" w:lineRule="exact"/>
        <w:rPr>
          <w:sz w:val="20"/>
          <w:szCs w:val="20"/>
          <w:color w:val="auto"/>
        </w:rPr>
      </w:pPr>
    </w:p>
    <w:p>
      <w:pPr>
        <w:ind w:left="840" w:hanging="235"/>
        <w:spacing w:after="0"/>
        <w:tabs>
          <w:tab w:leader="none" w:pos="84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1—Quoted prices in active markets for identical assets or liabilities.</w:t>
      </w:r>
    </w:p>
    <w:p>
      <w:pPr>
        <w:spacing w:after="0" w:line="118" w:lineRule="exact"/>
        <w:rPr>
          <w:rFonts w:ascii="Symbol" w:cs="Symbol" w:eastAsia="Symbol" w:hAnsi="Symbol"/>
          <w:sz w:val="20"/>
          <w:szCs w:val="20"/>
          <w:color w:val="auto"/>
        </w:rPr>
      </w:pPr>
    </w:p>
    <w:p>
      <w:pPr>
        <w:ind w:left="840" w:right="40" w:hanging="235"/>
        <w:spacing w:after="0" w:line="251" w:lineRule="auto"/>
        <w:tabs>
          <w:tab w:leader="none" w:pos="84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7" w:lineRule="exact"/>
        <w:rPr>
          <w:rFonts w:ascii="Symbol" w:cs="Symbol" w:eastAsia="Symbol" w:hAnsi="Symbol"/>
          <w:sz w:val="20"/>
          <w:szCs w:val="20"/>
          <w:color w:val="auto"/>
        </w:rPr>
      </w:pPr>
    </w:p>
    <w:p>
      <w:pPr>
        <w:jc w:val="both"/>
        <w:ind w:left="840" w:right="440" w:hanging="235"/>
        <w:spacing w:after="0" w:line="251" w:lineRule="auto"/>
        <w:tabs>
          <w:tab w:leader="none" w:pos="84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73" w:lineRule="exact"/>
        <w:rPr>
          <w:sz w:val="20"/>
          <w:szCs w:val="20"/>
          <w:color w:val="auto"/>
        </w:rPr>
      </w:pPr>
    </w:p>
    <w:p>
      <w:pPr>
        <w:ind w:right="180" w:firstLine="612"/>
        <w:spacing w:after="0" w:line="249" w:lineRule="auto"/>
        <w:rPr>
          <w:sz w:val="20"/>
          <w:szCs w:val="20"/>
          <w:color w:val="auto"/>
        </w:rPr>
      </w:pPr>
      <w:r>
        <w:rPr>
          <w:rFonts w:ascii="Times New Roman" w:cs="Times New Roman" w:eastAsia="Times New Roman" w:hAnsi="Times New Roman"/>
          <w:sz w:val="20"/>
          <w:szCs w:val="20"/>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19" w:lineRule="exact"/>
        <w:rPr>
          <w:sz w:val="20"/>
          <w:szCs w:val="20"/>
          <w:color w:val="auto"/>
        </w:rPr>
      </w:pPr>
    </w:p>
    <w:p>
      <w:pPr>
        <w:jc w:val="both"/>
        <w:ind w:right="500" w:firstLine="612"/>
        <w:spacing w:after="0" w:line="305" w:lineRule="auto"/>
        <w:rPr>
          <w:sz w:val="20"/>
          <w:szCs w:val="20"/>
          <w:color w:val="auto"/>
        </w:rPr>
      </w:pPr>
      <w:r>
        <w:rPr>
          <w:rFonts w:ascii="Times New Roman" w:cs="Times New Roman" w:eastAsia="Times New Roman" w:hAnsi="Times New Roman"/>
          <w:sz w:val="19"/>
          <w:szCs w:val="19"/>
          <w:color w:val="auto"/>
        </w:rPr>
        <w:t>Property and equipment, net is recorded at cost less accumulated depreciation. Depreciation expense is recorded using the straight-line method over the estimated useful life of the related asset, which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 Useful Life</w:t>
            </w:r>
          </w:p>
        </w:tc>
        <w:tc>
          <w:tcPr>
            <w:tcW w:w="0" w:type="dxa"/>
            <w:vAlign w:val="bottom"/>
          </w:tcPr>
          <w:p>
            <w:pPr>
              <w:spacing w:after="0"/>
              <w:rPr>
                <w:sz w:val="1"/>
                <w:szCs w:val="1"/>
                <w:color w:val="auto"/>
              </w:rPr>
            </w:pPr>
          </w:p>
        </w:tc>
      </w:tr>
      <w:tr>
        <w:trPr>
          <w:trHeight w:val="201"/>
        </w:trPr>
        <w:tc>
          <w:tcPr>
            <w:tcW w:w="4680" w:type="dxa"/>
            <w:vAlign w:val="bottom"/>
            <w:vMerge w:val="continue"/>
          </w:tcPr>
          <w:p>
            <w:pPr>
              <w:spacing w:after="0"/>
              <w:rPr>
                <w:sz w:val="17"/>
                <w:szCs w:val="17"/>
                <w:color w:val="auto"/>
              </w:rPr>
            </w:pPr>
          </w:p>
        </w:tc>
        <w:tc>
          <w:tcPr>
            <w:tcW w:w="46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3 years</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equipment</w:t>
            </w: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years</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equipment</w:t>
            </w: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years</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years</w:t>
            </w:r>
          </w:p>
        </w:tc>
        <w:tc>
          <w:tcPr>
            <w:tcW w:w="0" w:type="dxa"/>
            <w:vAlign w:val="bottom"/>
          </w:tcPr>
          <w:p>
            <w:pPr>
              <w:spacing w:after="0"/>
              <w:rPr>
                <w:sz w:val="1"/>
                <w:szCs w:val="1"/>
                <w:color w:val="auto"/>
              </w:rPr>
            </w:pPr>
          </w:p>
        </w:tc>
      </w:tr>
      <w:tr>
        <w:trPr>
          <w:trHeight w:val="267"/>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Shorter of remaining lease term or useful life</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40" w:firstLine="612"/>
        <w:spacing w:after="0" w:line="249" w:lineRule="auto"/>
        <w:rPr>
          <w:sz w:val="20"/>
          <w:szCs w:val="20"/>
          <w:color w:val="auto"/>
        </w:rPr>
      </w:pPr>
      <w:r>
        <w:rPr>
          <w:rFonts w:ascii="Times New Roman" w:cs="Times New Roman" w:eastAsia="Times New Roman" w:hAnsi="Times New Roman"/>
          <w:sz w:val="20"/>
          <w:szCs w:val="20"/>
          <w:color w:val="auto"/>
        </w:rPr>
        <w:t>Purchased assets that are not yet in service are recorded to construction-in-process and no depreciation expense is recorded. Once they are placed in service, they are reclassified to the appropriate asset class. When assets are retired or otherwise disposed of, the assets and related accumulated depreciation are eliminated from the accounts and any resulting gain or loss is reflected in the Company’s consolidated statements of operation and comprehensive loss. Expenditures for maintenance and repairs are expensed as incurred.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20"/>
          <w:szCs w:val="20"/>
          <w:color w:val="auto"/>
        </w:rPr>
        <w:t>Long-lived assets consist of property, equipment and right-of -use assets. The Company continually evaluates whether events or circumstances have occurred that indicate that the estimated remaining useful life of its long -lived assets may warrant revision or that the carrying value of these assets may not be recoverable. If circumstances require that a long-lived asset or asset group be tested for impairment, the Company first compares the estimated undiscounted future cash flows expected to result from the use or disposition of that asset or asset group to its carrying amount. If the carrying amount of the long-lived asset or asset group is not recoverable on an undiscounted cash flow basis, an impairment loss would be recognized to the extent the carrying value exceeds its fair value. Fair value is determined through various valuation techniques including discounted cash flow models, quoted market prices and third-party independent appraisals, as considered necessary. The Company did not recognize any impairment loss in the year ended December 31,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0" w:lineRule="exact"/>
        <w:rPr>
          <w:sz w:val="20"/>
          <w:szCs w:val="20"/>
          <w:color w:val="auto"/>
        </w:rPr>
      </w:pPr>
    </w:p>
    <w:p>
      <w:pPr>
        <w:jc w:val="both"/>
        <w:ind w:right="40" w:firstLine="612"/>
        <w:spacing w:after="0" w:line="277" w:lineRule="auto"/>
        <w:rPr>
          <w:sz w:val="20"/>
          <w:szCs w:val="20"/>
          <w:color w:val="auto"/>
        </w:rPr>
      </w:pPr>
      <w:r>
        <w:rPr>
          <w:rFonts w:ascii="Times New Roman" w:cs="Times New Roman" w:eastAsia="Times New Roman" w:hAnsi="Times New Roman"/>
          <w:sz w:val="20"/>
          <w:szCs w:val="20"/>
          <w:color w:val="auto"/>
        </w:rPr>
        <w:t>At the inception of an arrangement, the Company determines whether the arrangement is or contains a lease. Leases with a term greater than one year are recognized on the consolidated balance sheet as a right-of-use (“ROU”)</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1420" w:right="1440" w:bottom="175" w:gutter="0" w:footer="0" w:header="0"/>
        </w:sectPr>
      </w:pPr>
    </w:p>
    <w:bookmarkStart w:id="114" w:name="page115"/>
    <w:bookmarkEnd w:id="114"/>
    <w:p>
      <w:pPr>
        <w:ind w:right="120"/>
        <w:spacing w:after="0" w:line="246" w:lineRule="auto"/>
        <w:rPr>
          <w:sz w:val="20"/>
          <w:szCs w:val="20"/>
          <w:color w:val="auto"/>
        </w:rPr>
      </w:pPr>
      <w:r>
        <w:rPr>
          <w:rFonts w:ascii="Times New Roman" w:cs="Times New Roman" w:eastAsia="Times New Roman" w:hAnsi="Times New Roman"/>
          <w:sz w:val="20"/>
          <w:szCs w:val="20"/>
          <w:color w:val="auto"/>
        </w:rPr>
        <w:t>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The Company has applied this election to all classes of underlying assets.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79" w:lineRule="exact"/>
        <w:rPr>
          <w:sz w:val="20"/>
          <w:szCs w:val="20"/>
          <w:color w:val="auto"/>
        </w:rPr>
      </w:pPr>
    </w:p>
    <w:p>
      <w:pPr>
        <w:ind w:right="140" w:firstLine="612"/>
        <w:spacing w:after="0" w:line="246" w:lineRule="auto"/>
        <w:rPr>
          <w:sz w:val="20"/>
          <w:szCs w:val="20"/>
          <w:color w:val="auto"/>
        </w:rPr>
      </w:pPr>
      <w:r>
        <w:rPr>
          <w:rFonts w:ascii="Times New Roman" w:cs="Times New Roman" w:eastAsia="Times New Roman" w:hAnsi="Times New Roman"/>
          <w:sz w:val="20"/>
          <w:szCs w:val="20"/>
          <w:color w:val="auto"/>
        </w:rPr>
        <w:t>Operating lease liabilities and their corresponding ROU assets are recorded based on the present value of future lease payments over the expected remaining lease term. Lease cost for operating leases is recognized on a straight-line basis over the lease term as an operating expense.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has elected to account for lease and non-lease components together.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19" w:lineRule="exact"/>
        <w:rPr>
          <w:sz w:val="20"/>
          <w:szCs w:val="20"/>
          <w:color w:val="auto"/>
        </w:rPr>
      </w:pPr>
    </w:p>
    <w:p>
      <w:pPr>
        <w:ind w:right="440" w:firstLine="612"/>
        <w:spacing w:after="0" w:line="278" w:lineRule="auto"/>
        <w:rPr>
          <w:sz w:val="20"/>
          <w:szCs w:val="20"/>
          <w:color w:val="auto"/>
        </w:rPr>
      </w:pPr>
      <w:r>
        <w:rPr>
          <w:rFonts w:ascii="Times New Roman" w:cs="Times New Roman" w:eastAsia="Times New Roman" w:hAnsi="Times New Roman"/>
          <w:sz w:val="20"/>
          <w:szCs w:val="20"/>
          <w:color w:val="auto"/>
        </w:rPr>
        <w:t>Research and development expenses include costs directly attributable to the conduct of the Company’s research and development programs.</w:t>
      </w:r>
    </w:p>
    <w:p>
      <w:pPr>
        <w:spacing w:after="0" w:line="47" w:lineRule="exact"/>
        <w:rPr>
          <w:sz w:val="20"/>
          <w:szCs w:val="20"/>
          <w:color w:val="auto"/>
        </w:rPr>
      </w:pPr>
    </w:p>
    <w:p>
      <w:pPr>
        <w:ind w:right="20" w:firstLine="612"/>
        <w:spacing w:after="0" w:line="246" w:lineRule="auto"/>
        <w:rPr>
          <w:sz w:val="20"/>
          <w:szCs w:val="20"/>
          <w:color w:val="auto"/>
        </w:rPr>
      </w:pPr>
      <w:r>
        <w:rPr>
          <w:rFonts w:ascii="Times New Roman" w:cs="Times New Roman" w:eastAsia="Times New Roman" w:hAnsi="Times New Roman"/>
          <w:sz w:val="20"/>
          <w:szCs w:val="20"/>
          <w:color w:val="auto"/>
        </w:rPr>
        <w:t>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 The cost of materials for a research and development activity that have an alternative future use is capitalized when the materials are acquired and recognized as expense as consumed. The costs of materials that were acquired for a particular research and development activity and have no alternative future use are expensed in the period acquired.</w:t>
      </w:r>
    </w:p>
    <w:p>
      <w:pPr>
        <w:spacing w:after="0" w:line="80" w:lineRule="exact"/>
        <w:rPr>
          <w:sz w:val="20"/>
          <w:szCs w:val="20"/>
          <w:color w:val="auto"/>
        </w:rPr>
      </w:pPr>
    </w:p>
    <w:p>
      <w:pPr>
        <w:ind w:right="220" w:firstLine="612"/>
        <w:spacing w:after="0" w:line="278" w:lineRule="auto"/>
        <w:rPr>
          <w:sz w:val="20"/>
          <w:szCs w:val="20"/>
          <w:color w:val="auto"/>
        </w:rPr>
      </w:pPr>
      <w:r>
        <w:rPr>
          <w:rFonts w:ascii="Times New Roman" w:cs="Times New Roman" w:eastAsia="Times New Roman" w:hAnsi="Times New Roman"/>
          <w:sz w:val="20"/>
          <w:szCs w:val="20"/>
          <w:color w:val="auto"/>
        </w:rPr>
        <w:t>Costs incurred in obtaining licenses are recognized as research and development expense as incurred if the license has no alternative use.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119" w:lineRule="exact"/>
        <w:rPr>
          <w:sz w:val="20"/>
          <w:szCs w:val="20"/>
          <w:color w:val="auto"/>
        </w:rPr>
      </w:pPr>
    </w:p>
    <w:p>
      <w:pPr>
        <w:ind w:right="120" w:firstLine="612"/>
        <w:spacing w:after="0" w:line="245" w:lineRule="auto"/>
        <w:rPr>
          <w:sz w:val="20"/>
          <w:szCs w:val="20"/>
          <w:color w:val="auto"/>
        </w:rPr>
      </w:pPr>
      <w:r>
        <w:rPr>
          <w:rFonts w:ascii="Times New Roman" w:cs="Times New Roman" w:eastAsia="Times New Roman" w:hAnsi="Times New Roman"/>
          <w:sz w:val="20"/>
          <w:szCs w:val="20"/>
          <w:color w:val="auto"/>
        </w:rPr>
        <w:t>The Company has entered into various research and development related contracts, including contracts with third-party contract research organizations and contract manufacturing organizations. These agreements are cancelable, and related costs are recognized as research and development expenses as incurred. The Company records accrued liabilities for estimated ongoing research costs. When evaluating the adequacy of the accrued liabilities, the Company analyzes the progress of the studies, including the phase or completion of events, invoices received and contracted costs. Significant judgments and estimates may be required to determine the accrued balances at the end of any reporting period. Actual results could differ from the Company’s estimates. To date, the Company’s historical accrual estimates have not been materially different from the actual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1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("ASC 480") and ASC Topic 815, </w:t>
      </w:r>
      <w:r>
        <w:rPr>
          <w:rFonts w:ascii="Times New Roman" w:cs="Times New Roman" w:eastAsia="Times New Roman" w:hAnsi="Times New Roman"/>
          <w:sz w:val="20"/>
          <w:szCs w:val="20"/>
          <w:i w:val="1"/>
          <w:iCs w:val="1"/>
          <w:color w:val="auto"/>
        </w:rPr>
        <w:t>Derivatives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Hedging </w:t>
      </w:r>
      <w:r>
        <w:rPr>
          <w:rFonts w:ascii="Times New Roman" w:cs="Times New Roman" w:eastAsia="Times New Roman" w:hAnsi="Times New Roman"/>
          <w:sz w:val="20"/>
          <w:szCs w:val="20"/>
          <w:color w:val="auto"/>
        </w:rPr>
        <w:t>(“ASC 815”). The assessment considers whether warrants are freestanding financial instruments pursuant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at the time of warrant issuance and as of each subsequent period end date while the warrants are outstanding.</w:t>
      </w:r>
    </w:p>
    <w:p>
      <w:pPr>
        <w:spacing w:after="0" w:line="86"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Warrants classified as equity are recorded at fair value as of the date of issuance on the Company’s consolidated balance sheets and no further adjustments to their initial valuation will be subsequently made as long as they remain equity-classified. Warrants classified as liabilities are recorded on the Company’s consolidated balance sheets at their fair value on the date of issuance and are revalued at each subsequent balance sheet date until such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9360"/>
          </w:cols>
          <w:pgMar w:left="1440" w:top="1420" w:right="1440" w:bottom="175" w:gutter="0" w:footer="0" w:header="0"/>
        </w:sectPr>
      </w:pPr>
    </w:p>
    <w:bookmarkStart w:id="115" w:name="page116"/>
    <w:bookmarkEnd w:id="115"/>
    <w:p>
      <w:pPr>
        <w:ind w:right="280"/>
        <w:spacing w:after="0" w:line="258" w:lineRule="auto"/>
        <w:rPr>
          <w:sz w:val="20"/>
          <w:szCs w:val="20"/>
          <w:color w:val="auto"/>
        </w:rPr>
      </w:pPr>
      <w:r>
        <w:rPr>
          <w:rFonts w:ascii="Times New Roman" w:cs="Times New Roman" w:eastAsia="Times New Roman" w:hAnsi="Times New Roman"/>
          <w:sz w:val="20"/>
          <w:szCs w:val="20"/>
          <w:color w:val="auto"/>
        </w:rPr>
        <w:t>instruments are exercised or expired, or meet the criteria to become equity-classified, with any changes in the fair value between reporting periods recorded as a component of other income (expense), net on the consolidated statement of operations and comprehensive loss.</w:t>
      </w:r>
    </w:p>
    <w:p>
      <w:pPr>
        <w:spacing w:after="0" w:line="68" w:lineRule="exact"/>
        <w:rPr>
          <w:sz w:val="20"/>
          <w:szCs w:val="20"/>
          <w:color w:val="auto"/>
        </w:rPr>
      </w:pPr>
    </w:p>
    <w:p>
      <w:pPr>
        <w:ind w:right="700" w:firstLine="770"/>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has both equity-classified and liability-classified warrants outstanding.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19"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stock-based compensation under the provisions of ASC 718-10,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Stock Compensation </w:t>
      </w:r>
      <w:r>
        <w:rPr>
          <w:rFonts w:ascii="Times New Roman" w:cs="Times New Roman" w:eastAsia="Times New Roman" w:hAnsi="Times New Roman"/>
          <w:sz w:val="20"/>
          <w:szCs w:val="20"/>
          <w:color w:val="auto"/>
        </w:rPr>
        <w:t>(“ASC 718-10”), which requires all stock-based payments to employees, non-employees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including grants of stock options and restricted stock units, to be recognized in the consolidated statements of operations and comprehensive loss based on their fair values on the date of grant over the requisite service period, which is generally the vesting period of the respective award. Forfeitures are accounted for as they occur. Generally, the Company issues awards with only service-based vesting conditions and records the expense for these awards using the ratable method. The Company classifies stock-based compensation expense in the same manner in which the award recipient’s payroll or service provider’s costs are classified. Stock-based payments that contain performance conditions are recognized when such conditions are probable of being achieved.</w:t>
      </w:r>
    </w:p>
    <w:p>
      <w:pPr>
        <w:spacing w:after="0" w:line="86" w:lineRule="exact"/>
        <w:rPr>
          <w:sz w:val="20"/>
          <w:szCs w:val="20"/>
          <w:color w:val="auto"/>
        </w:rPr>
      </w:pPr>
    </w:p>
    <w:p>
      <w:pPr>
        <w:ind w:right="260" w:firstLine="612"/>
        <w:spacing w:after="0" w:line="278" w:lineRule="auto"/>
        <w:rPr>
          <w:sz w:val="20"/>
          <w:szCs w:val="20"/>
          <w:color w:val="auto"/>
        </w:rPr>
      </w:pPr>
      <w:r>
        <w:rPr>
          <w:rFonts w:ascii="Times New Roman" w:cs="Times New Roman" w:eastAsia="Times New Roman" w:hAnsi="Times New Roman"/>
          <w:sz w:val="20"/>
          <w:szCs w:val="20"/>
          <w:color w:val="auto"/>
        </w:rPr>
        <w:t>The fair value of each restricted common stock award and each restricted stock unit award is estimated on the date of grant based on the fair value of the Company’s common stock on that same date.</w:t>
      </w:r>
    </w:p>
    <w:p>
      <w:pPr>
        <w:spacing w:after="0" w:line="47" w:lineRule="exact"/>
        <w:rPr>
          <w:sz w:val="20"/>
          <w:szCs w:val="20"/>
          <w:color w:val="auto"/>
        </w:rPr>
      </w:pPr>
    </w:p>
    <w:p>
      <w:pPr>
        <w:ind w:right="200" w:firstLine="612"/>
        <w:spacing w:after="0" w:line="278" w:lineRule="auto"/>
        <w:rPr>
          <w:sz w:val="20"/>
          <w:szCs w:val="20"/>
          <w:color w:val="auto"/>
        </w:rPr>
      </w:pPr>
      <w:r>
        <w:rPr>
          <w:rFonts w:ascii="Times New Roman" w:cs="Times New Roman" w:eastAsia="Times New Roman" w:hAnsi="Times New Roman"/>
          <w:sz w:val="20"/>
          <w:szCs w:val="20"/>
          <w:color w:val="auto"/>
        </w:rPr>
        <w:t>The fair value of each option grant is estimated on the date of grant using the Black-Scholes option pricing model which requires inputs based on certain subjective assumptions, including the following:</w:t>
      </w:r>
    </w:p>
    <w:p>
      <w:pPr>
        <w:spacing w:after="0" w:line="62" w:lineRule="exact"/>
        <w:rPr>
          <w:sz w:val="20"/>
          <w:szCs w:val="20"/>
          <w:color w:val="auto"/>
        </w:rPr>
      </w:pPr>
    </w:p>
    <w:p>
      <w:pPr>
        <w:jc w:val="both"/>
        <w:ind w:left="860" w:right="60" w:hanging="241"/>
        <w:spacing w:after="0" w:line="250" w:lineRule="auto"/>
        <w:tabs>
          <w:tab w:leader="none" w:pos="8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—The expected term represents the period that the stock-based awards are expected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The Company uses the simplified method to determine the expected term, which is based on the average of the time-to-vesting and the contractual life of the options.</w:t>
      </w:r>
    </w:p>
    <w:p>
      <w:pPr>
        <w:spacing w:after="0" w:line="90" w:lineRule="exact"/>
        <w:rPr>
          <w:rFonts w:ascii="Symbol" w:cs="Symbol" w:eastAsia="Symbol" w:hAnsi="Symbol"/>
          <w:sz w:val="20"/>
          <w:szCs w:val="20"/>
          <w:color w:val="auto"/>
        </w:rPr>
      </w:pPr>
    </w:p>
    <w:p>
      <w:pPr>
        <w:ind w:left="860" w:right="60" w:hanging="241"/>
        <w:spacing w:after="0" w:line="244" w:lineRule="auto"/>
        <w:tabs>
          <w:tab w:leader="none" w:pos="8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—Because the Company does not have sufficient trading history for its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of December 31, 2025, the expected volatility was estimated based on the average volatility for comparable publicly traded biotechnology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95" w:lineRule="exact"/>
        <w:rPr>
          <w:rFonts w:ascii="Symbol" w:cs="Symbol" w:eastAsia="Symbol" w:hAnsi="Symbol"/>
          <w:sz w:val="20"/>
          <w:szCs w:val="20"/>
          <w:color w:val="auto"/>
        </w:rPr>
      </w:pPr>
    </w:p>
    <w:p>
      <w:pPr>
        <w:ind w:left="860" w:right="240" w:hanging="241"/>
        <w:spacing w:after="0" w:line="262" w:lineRule="auto"/>
        <w:tabs>
          <w:tab w:leader="none" w:pos="8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—The risk-free interest rate is based on the U.S. Treasury zero coupon issues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 at the time of grant for periods corresponding with the expected term of the awards.</w:t>
      </w:r>
    </w:p>
    <w:p>
      <w:pPr>
        <w:spacing w:after="0" w:line="76" w:lineRule="exact"/>
        <w:rPr>
          <w:rFonts w:ascii="Symbol" w:cs="Symbol" w:eastAsia="Symbol" w:hAnsi="Symbol"/>
          <w:sz w:val="20"/>
          <w:szCs w:val="20"/>
          <w:color w:val="auto"/>
        </w:rPr>
      </w:pPr>
    </w:p>
    <w:p>
      <w:pPr>
        <w:ind w:left="860" w:right="300" w:hanging="241"/>
        <w:spacing w:after="0" w:line="262" w:lineRule="auto"/>
        <w:tabs>
          <w:tab w:leader="none" w:pos="86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Dividend Yield</w:t>
      </w:r>
      <w:r>
        <w:rPr>
          <w:rFonts w:ascii="Times New Roman" w:cs="Times New Roman" w:eastAsia="Times New Roman" w:hAnsi="Times New Roman"/>
          <w:sz w:val="20"/>
          <w:szCs w:val="20"/>
          <w:color w:val="auto"/>
        </w:rPr>
        <w:t>—The Company has never paid dividends on its common stock and has no plans to pay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dividends on its common stock. Therefore, the Company used an expected dividend yield of zero.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firstLine="612"/>
        <w:spacing w:after="0" w:line="244"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approach.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established to reduce deferred tax assets to the amounts expected to be realized. The Company also recognizes a tax benefit from uncertain tax positions only if it is “more likely than not” that the position is sustainable based on its technical merits. The Company accounts for interest or penalties related to uncertain tax positions as part of its provision for income taxes. To date, the Company has not incurred interest and penalties related to uncertain tax positions. Should such costs be incurred, they would be classified as a component of provision for income taxes.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20" w:lineRule="exact"/>
        <w:rPr>
          <w:sz w:val="20"/>
          <w:szCs w:val="20"/>
          <w:color w:val="auto"/>
        </w:rPr>
      </w:pPr>
    </w:p>
    <w:p>
      <w:pPr>
        <w:ind w:right="40" w:firstLine="612"/>
        <w:spacing w:after="0" w:line="265" w:lineRule="auto"/>
        <w:rPr>
          <w:sz w:val="20"/>
          <w:szCs w:val="20"/>
          <w:color w:val="auto"/>
        </w:rPr>
      </w:pPr>
      <w:r>
        <w:rPr>
          <w:rFonts w:ascii="Times New Roman" w:cs="Times New Roman" w:eastAsia="Times New Roman" w:hAnsi="Times New Roman"/>
          <w:sz w:val="19"/>
          <w:szCs w:val="19"/>
          <w:color w:val="auto"/>
        </w:rPr>
        <w:t>Basic net loss per share is computed by dividing net loss by the weighted-average number of common shares outstanding during the reporting period, without consideration for potentially dilutive securities. Diluted net loss per share is computed by dividing net loss by the weighted-average number of common shares and potentially dilutive securities outstanding during the periods. For purposes of the diluted net loss per share calculation, warrants, restricted stock units and stock options considered to be potentially dilutive securities were excluded from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240" w:h="15840" w:orient="portrait"/>
          <w:cols w:equalWidth="0" w:num="1">
            <w:col w:w="9360"/>
          </w:cols>
          <w:pgMar w:left="1440" w:top="1420" w:right="1440" w:bottom="175" w:gutter="0" w:footer="0" w:header="0"/>
        </w:sectPr>
      </w:pPr>
    </w:p>
    <w:bookmarkStart w:id="116" w:name="page117"/>
    <w:bookmarkEnd w:id="116"/>
    <w:p>
      <w:pPr>
        <w:ind w:right="240"/>
        <w:spacing w:after="0" w:line="278" w:lineRule="auto"/>
        <w:rPr>
          <w:sz w:val="20"/>
          <w:szCs w:val="20"/>
          <w:color w:val="auto"/>
        </w:rPr>
      </w:pPr>
      <w:r>
        <w:rPr>
          <w:rFonts w:ascii="Times New Roman" w:cs="Times New Roman" w:eastAsia="Times New Roman" w:hAnsi="Times New Roman"/>
          <w:sz w:val="20"/>
          <w:szCs w:val="20"/>
          <w:color w:val="auto"/>
        </w:rPr>
        <w:t>calculation of diluted net loss per share because their effect would be anti-dilutive and therefore, basic and diluted net loss per share were the same for all reporting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Costs</w:t>
      </w:r>
    </w:p>
    <w:p>
      <w:pPr>
        <w:spacing w:after="0" w:line="230"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 xml:space="preserve">Employee severance costs are recorded based on whether the termination benefits are provided under an on-going benefit arrangement or under a one- time benefit arrangement. The Company accounts for on-going termination benefit arrangements, such as those arising from employment agreements, applicable regulations or past practices, in accordance with ASC 712, </w:t>
      </w:r>
      <w:r>
        <w:rPr>
          <w:rFonts w:ascii="Times New Roman" w:cs="Times New Roman" w:eastAsia="Times New Roman" w:hAnsi="Times New Roman"/>
          <w:sz w:val="20"/>
          <w:szCs w:val="20"/>
          <w:i w:val="1"/>
          <w:iCs w:val="1"/>
          <w:color w:val="auto"/>
        </w:rPr>
        <w:t>Compensation- Nonretirement Postemployment Benefits</w:t>
      </w:r>
      <w:r>
        <w:rPr>
          <w:rFonts w:ascii="Times New Roman" w:cs="Times New Roman" w:eastAsia="Times New Roman" w:hAnsi="Times New Roman"/>
          <w:sz w:val="20"/>
          <w:szCs w:val="20"/>
          <w:color w:val="auto"/>
        </w:rPr>
        <w:t xml:space="preserve">. Under ASC 712, liabilities for post-employment benefits are recorded at the time the obligations are probable of being incurred and can be reasonably estimated. The Company accounts for one -time employment benefit arrangements in accordance with ASC 420, </w:t>
      </w:r>
      <w:r>
        <w:rPr>
          <w:rFonts w:ascii="Times New Roman" w:cs="Times New Roman" w:eastAsia="Times New Roman" w:hAnsi="Times New Roman"/>
          <w:sz w:val="20"/>
          <w:szCs w:val="20"/>
          <w:i w:val="1"/>
          <w:iCs w:val="1"/>
          <w:color w:val="auto"/>
        </w:rPr>
        <w:t>Exit or Disposal Cost Obligations</w:t>
      </w:r>
      <w:r>
        <w:rPr>
          <w:rFonts w:ascii="Times New Roman" w:cs="Times New Roman" w:eastAsia="Times New Roman" w:hAnsi="Times New Roman"/>
          <w:sz w:val="20"/>
          <w:szCs w:val="20"/>
          <w:color w:val="auto"/>
        </w:rPr>
        <w:t>.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Refer to Note 16 for additional information on the severance expense that the Company recognized for employees terminated in connection with the Restructuring Plan (as defined below).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20" w:lineRule="exact"/>
        <w:rPr>
          <w:sz w:val="20"/>
          <w:szCs w:val="20"/>
          <w:color w:val="auto"/>
        </w:rPr>
      </w:pPr>
    </w:p>
    <w:p>
      <w:pPr>
        <w:ind w:right="20" w:firstLine="612"/>
        <w:spacing w:after="0" w:line="247"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and adopted by the Company as of the specified effective date. Unless otherwise discussed, the impact of recently issued standards that are not yet effective are not expected to have a material impact on the Company’s consolidated financial statements upon adoption. Under the Jumpstart Our Business Startups Act of 2012, as amended (the “JOBS Act”), the Company meets the definition of an emerging growth company and has elected to take advantage of the extended transition period for complying with certain new or revised accounting standards pursuant to Section 107(b) of the JOBS Act.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19" w:lineRule="exact"/>
        <w:rPr>
          <w:sz w:val="20"/>
          <w:szCs w:val="20"/>
          <w:color w:val="auto"/>
        </w:rPr>
      </w:pPr>
    </w:p>
    <w:p>
      <w:pPr>
        <w:ind w:right="20" w:firstLine="612"/>
        <w:spacing w:after="0" w:line="246"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(“ASU 2023-09”). ASU 2023-09 requires more detailed income tax disclosures, requiring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update is effective beginning with the Company’s 2026 fiscal year annual reporting period. The Company is currently evaluating the impact that the adoption of this standard will have on its consolidated financial statements and disclosures.</w:t>
      </w:r>
    </w:p>
    <w:p>
      <w:pPr>
        <w:spacing w:after="0" w:line="80" w:lineRule="exact"/>
        <w:rPr>
          <w:sz w:val="20"/>
          <w:szCs w:val="20"/>
          <w:color w:val="auto"/>
        </w:rPr>
      </w:pPr>
    </w:p>
    <w:p>
      <w:pPr>
        <w:ind w:right="100" w:firstLine="612"/>
        <w:spacing w:after="0" w:line="246"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(Subtopic 220-40): Disaggregation of Income Statement Expenses ("ASU 2024-03"). ASU 2024-03 improves disclosures surrounding a public business entity’s expenses by requiring more detailed information about the types of expenses included within commonly presented income statement captions. The update is effective beginning with the Company's 2027 fiscal year annual reporting period, with early adoption permitted. The Company is currently evaluating the impact that the adoption of this standard will have on its consolidated financial statements and disclosures.</w:t>
      </w:r>
    </w:p>
    <w:p>
      <w:pPr>
        <w:spacing w:after="0" w:line="79"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0"/>
          <w:szCs w:val="20"/>
          <w:color w:val="auto"/>
        </w:rPr>
        <w:t>In December 2025, the FASB issued ASU 2025- 11, Interim Reporting (Topic 270) ("ASU 2025-11"). ASU 2025-11 provides clarity about current interim reporting requirements to help entities determine whether disclosures not specified in Topic 270 should be provided in interim reporting periods. The update is effective beginning with the Company's 2028 fiscal year annual reporting period, with early adoption permitted. The Company does not expect the update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9360"/>
          </w:cols>
          <w:pgMar w:left="1440" w:top="1420" w:right="1440" w:bottom="175"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3. Marketable Securities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amortized cost and estimated fair value of marketable securities, by contractual maturity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20" w:type="dxa"/>
            <w:vAlign w:val="bottom"/>
          </w:tcPr>
          <w:p>
            <w:pPr>
              <w:spacing w:after="0"/>
              <w:rPr>
                <w:sz w:val="14"/>
                <w:szCs w:val="14"/>
                <w:color w:val="auto"/>
              </w:rPr>
            </w:pPr>
          </w:p>
        </w:tc>
        <w:tc>
          <w:tcPr>
            <w:tcW w:w="13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Holding Gains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Holding Losses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8"/>
        </w:trPr>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Maturing in one year or less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25,772</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25,788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13,636</w:t>
            </w:r>
          </w:p>
        </w:tc>
        <w:tc>
          <w:tcPr>
            <w:tcW w:w="340" w:type="dxa"/>
            <w:vAlign w:val="bottom"/>
            <w:tcBorders>
              <w:bottom w:val="single" w:sz="8" w:color="CFF0FC"/>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320" w:type="dxa"/>
            <w:vAlign w:val="bottom"/>
            <w:tcBorders>
              <w:bottom w:val="single" w:sz="8" w:color="CFF0FC"/>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13,642</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36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Maturing after one year through five</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CFF0FC"/>
            </w:tcBorders>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years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CFF0FC"/>
            </w:tcBorders>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19,273</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19,292</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58,681</w:t>
            </w:r>
          </w:p>
        </w:tc>
        <w:tc>
          <w:tcPr>
            <w:tcW w:w="2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bottom w:val="single" w:sz="8" w:color="auto"/>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58,722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2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Holding Gains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Holding Losses</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Maturing in one year or less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4,981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Maturing after one year through five</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years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4,974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right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4,984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9,955</w:t>
            </w:r>
          </w:p>
        </w:tc>
        <w:tc>
          <w:tcPr>
            <w:tcW w:w="24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4134485</wp:posOffset>
                </wp:positionH>
                <wp:positionV relativeFrom="paragraph">
                  <wp:posOffset>-3492500</wp:posOffset>
                </wp:positionV>
                <wp:extent cx="175450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45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55pt,-275pt" to="463.7pt,-27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4128135</wp:posOffset>
                </wp:positionH>
                <wp:positionV relativeFrom="paragraph">
                  <wp:posOffset>-3243580</wp:posOffset>
                </wp:positionV>
                <wp:extent cx="80772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05pt,-255.3999pt" to="388.65pt,-25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4935855</wp:posOffset>
                </wp:positionH>
                <wp:positionV relativeFrom="paragraph">
                  <wp:posOffset>-3246755</wp:posOffset>
                </wp:positionV>
                <wp:extent cx="14732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3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5pt,-255.6499pt" to="400.25pt,-255.6499pt" o:allowincell="f" strokecolor="#FFFFFF" strokeweight="1.2pt"/>
            </w:pict>
          </mc:Fallback>
        </mc:AlternateContent>
        <w:drawing>
          <wp:anchor simplePos="0" relativeHeight="251657728" behindDoc="1" locked="0" layoutInCell="0" allowOverlap="1">
            <wp:simplePos x="0" y="0"/>
            <wp:positionH relativeFrom="column">
              <wp:posOffset>4116070</wp:posOffset>
            </wp:positionH>
            <wp:positionV relativeFrom="paragraph">
              <wp:posOffset>-2640965</wp:posOffset>
            </wp:positionV>
            <wp:extent cx="833120" cy="3263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extLst>
                        <a:ext uri="{28A0092B-C50C-407E-A947-70E740481C1C}"/>
                      </a:extLst>
                    </a:blip>
                    <a:srcRect/>
                    <a:stretch>
                      <a:fillRect/>
                    </a:stretch>
                  </pic:blipFill>
                  <pic:spPr bwMode="auto">
                    <a:xfrm>
                      <a:off x="0" y="0"/>
                      <a:ext cx="833120" cy="3263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4134485</wp:posOffset>
                </wp:positionH>
                <wp:positionV relativeFrom="paragraph">
                  <wp:posOffset>-1354455</wp:posOffset>
                </wp:positionV>
                <wp:extent cx="175450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45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55pt,-106.6499pt" to="463.7pt,-106.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4128135</wp:posOffset>
                </wp:positionH>
                <wp:positionV relativeFrom="paragraph">
                  <wp:posOffset>-1105535</wp:posOffset>
                </wp:positionV>
                <wp:extent cx="8077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05pt,-87.0499pt" to="388.65pt,-87.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4935855</wp:posOffset>
                </wp:positionH>
                <wp:positionV relativeFrom="paragraph">
                  <wp:posOffset>-1108710</wp:posOffset>
                </wp:positionV>
                <wp:extent cx="14732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3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5pt,-87.2999pt" to="400.25pt,-87.2999pt" o:allowincell="f" strokecolor="#FFFFFF" strokeweight="1.2pt"/>
            </w:pict>
          </mc:Fallback>
        </mc:AlternateContent>
        <w:drawing>
          <wp:anchor simplePos="0" relativeHeight="251657728" behindDoc="1" locked="0" layoutInCell="0" allowOverlap="1">
            <wp:simplePos x="0" y="0"/>
            <wp:positionH relativeFrom="column">
              <wp:posOffset>0</wp:posOffset>
            </wp:positionH>
            <wp:positionV relativeFrom="paragraph">
              <wp:posOffset>-657225</wp:posOffset>
            </wp:positionV>
            <wp:extent cx="5943600" cy="326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extLst>
                        <a:ext uri="{28A0092B-C50C-407E-A947-70E740481C1C}"/>
                      </a:extLst>
                    </a:blip>
                    <a:srcRect/>
                    <a:stretch>
                      <a:fillRect/>
                    </a:stretch>
                  </pic:blipFill>
                  <pic:spPr bwMode="auto">
                    <a:xfrm>
                      <a:off x="0" y="0"/>
                      <a:ext cx="5943600" cy="326390"/>
                    </a:xfrm>
                    <a:prstGeom prst="rect">
                      <a:avLst/>
                    </a:prstGeom>
                    <a:noFill/>
                  </pic:spPr>
                </pic:pic>
              </a:graphicData>
            </a:graphic>
          </wp:anchor>
        </w:drawing>
      </w:r>
    </w:p>
    <w:p>
      <w:pPr>
        <w:spacing w:after="0" w:line="311" w:lineRule="exact"/>
        <w:rPr>
          <w:sz w:val="20"/>
          <w:szCs w:val="20"/>
          <w:color w:val="auto"/>
        </w:rPr>
      </w:pPr>
    </w:p>
    <w:p>
      <w:pPr>
        <w:jc w:val="both"/>
        <w:ind w:right="120" w:firstLine="612"/>
        <w:spacing w:after="0" w:line="258" w:lineRule="auto"/>
        <w:rPr>
          <w:sz w:val="20"/>
          <w:szCs w:val="20"/>
          <w:color w:val="auto"/>
        </w:rPr>
      </w:pPr>
      <w:r>
        <w:rPr>
          <w:rFonts w:ascii="Times New Roman" w:cs="Times New Roman" w:eastAsia="Times New Roman" w:hAnsi="Times New Roman"/>
          <w:sz w:val="20"/>
          <w:szCs w:val="20"/>
          <w:color w:val="auto"/>
        </w:rPr>
        <w:t>The Company did not have any individual securities in an unrealized loss position as of December 31, 2025 or 2024. The Company did not record any impairments to marketable securities or reserves for credit losses related to its marketable debt securities during the years ended December 31, 2025 and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23" w:lineRule="exact"/>
        <w:rPr>
          <w:sz w:val="20"/>
          <w:szCs w:val="20"/>
          <w:color w:val="auto"/>
        </w:rPr>
      </w:pPr>
    </w:p>
    <w:p>
      <w:pPr>
        <w:ind w:right="300" w:firstLine="612"/>
        <w:spacing w:after="0" w:line="278"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820" w:type="dxa"/>
            <w:vAlign w:val="bottom"/>
            <w:gridSpan w:val="2"/>
            <w:vMerge w:val="continue"/>
          </w:tcPr>
          <w:p>
            <w:pPr>
              <w:spacing w:after="0"/>
              <w:rPr>
                <w:sz w:val="16"/>
                <w:szCs w:val="16"/>
                <w:color w:val="auto"/>
              </w:rPr>
            </w:pPr>
          </w:p>
        </w:tc>
        <w:tc>
          <w:tcPr>
            <w:tcW w:w="9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630" w:type="dxa"/>
            <w:vAlign w:val="bottom"/>
          </w:tcPr>
          <w:p>
            <w:pPr>
              <w:ind w:left="13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 w:type="dxa"/>
            <w:vAlign w:val="bottom"/>
            <w:tcBorders>
              <w:top w:val="single" w:sz="8" w:color="auto"/>
            </w:tcBorders>
          </w:tcPr>
          <w:p>
            <w:pPr>
              <w:spacing w:after="0"/>
              <w:rPr>
                <w:sz w:val="20"/>
                <w:szCs w:val="20"/>
                <w:color w:val="auto"/>
              </w:rPr>
            </w:pPr>
          </w:p>
        </w:tc>
        <w:tc>
          <w:tcPr>
            <w:tcW w:w="63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Cash equivalents</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3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392,803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1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63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392,803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3,434</w:t>
            </w:r>
          </w:p>
        </w:tc>
        <w:tc>
          <w:tcPr>
            <w:tcW w:w="200" w:type="dxa"/>
            <w:vAlign w:val="bottom"/>
            <w:tcBorders>
              <w:bottom w:val="single" w:sz="8" w:color="CFF0FC"/>
            </w:tcBorders>
            <w:shd w:val="clear" w:color="auto" w:fill="CFF0FC"/>
          </w:tcPr>
          <w:p>
            <w:pPr>
              <w:spacing w:after="0"/>
              <w:rPr>
                <w:sz w:val="23"/>
                <w:szCs w:val="23"/>
                <w:color w:val="auto"/>
              </w:rPr>
            </w:pPr>
          </w:p>
        </w:tc>
        <w:tc>
          <w:tcPr>
            <w:tcW w:w="110" w:type="dxa"/>
            <w:vAlign w:val="bottom"/>
            <w:tcBorders>
              <w:bottom w:val="single" w:sz="8" w:color="auto"/>
            </w:tcBorders>
            <w:shd w:val="clear" w:color="auto" w:fill="CFF0FC"/>
          </w:tcPr>
          <w:p>
            <w:pPr>
              <w:spacing w:after="0"/>
              <w:rPr>
                <w:sz w:val="23"/>
                <w:szCs w:val="23"/>
                <w:color w:val="auto"/>
              </w:rPr>
            </w:pPr>
          </w:p>
        </w:tc>
        <w:tc>
          <w:tcPr>
            <w:tcW w:w="63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3,434</w:t>
            </w:r>
          </w:p>
        </w:tc>
        <w:tc>
          <w:tcPr>
            <w:tcW w:w="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300"/>
              <w:spacing w:after="0" w:line="213" w:lineRule="exact"/>
              <w:rPr>
                <w:sz w:val="20"/>
                <w:szCs w:val="20"/>
                <w:color w:val="auto"/>
              </w:rPr>
            </w:pPr>
            <w:r>
              <w:rPr>
                <w:rFonts w:ascii="Times New Roman" w:cs="Times New Roman" w:eastAsia="Times New Roman" w:hAnsi="Times New Roman"/>
                <w:sz w:val="20"/>
                <w:szCs w:val="20"/>
                <w:color w:val="auto"/>
              </w:rPr>
              <w:t>Total cash equivalents</w:t>
            </w:r>
          </w:p>
        </w:tc>
        <w:tc>
          <w:tcPr>
            <w:tcW w:w="9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392,803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3,434</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2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18"/>
                <w:szCs w:val="18"/>
                <w:color w:val="auto"/>
              </w:rPr>
            </w:pPr>
          </w:p>
        </w:tc>
        <w:tc>
          <w:tcPr>
            <w:tcW w:w="9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396,237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3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13,642</w:t>
            </w: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3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0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45,080</w:t>
            </w:r>
          </w:p>
        </w:tc>
        <w:tc>
          <w:tcPr>
            <w:tcW w:w="20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63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45,080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58,722</w:t>
            </w:r>
          </w:p>
        </w:tc>
        <w:tc>
          <w:tcPr>
            <w:tcW w:w="2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3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Restricted cash equivalents</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3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3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3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8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Warrant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600,547</w:t>
            </w:r>
          </w:p>
        </w:tc>
        <w:tc>
          <w:tcPr>
            <w:tcW w:w="2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3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600,547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-1099820</wp:posOffset>
                </wp:positionV>
                <wp:extent cx="5943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5999pt" to="468pt,-86.5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9360"/>
          </w:cols>
          <w:pgMar w:left="1440" w:top="1416" w:right="1440" w:bottom="175" w:gutter="0" w:footer="0" w:header="0"/>
        </w:sectPr>
      </w:pPr>
    </w:p>
    <w:bookmarkStart w:id="118" w:name="page119"/>
    <w:bookmarkEnd w:id="118"/>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vMerge w:val="restart"/>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85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87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85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630" w:type="dxa"/>
            <w:vAlign w:val="bottom"/>
            <w:tcBorders>
              <w:bottom w:val="single" w:sz="8" w:color="auto"/>
            </w:tcBorders>
          </w:tcPr>
          <w:p>
            <w:pPr>
              <w:ind w:left="13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87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8"/>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Cash equivalents</w:t>
            </w:r>
          </w:p>
        </w:tc>
        <w:tc>
          <w:tcPr>
            <w:tcW w:w="11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00" w:type="dxa"/>
            <w:vAlign w:val="bottom"/>
            <w:shd w:val="clear" w:color="auto" w:fill="CFF0FC"/>
          </w:tcPr>
          <w:p>
            <w:pPr>
              <w:spacing w:after="0"/>
              <w:rPr>
                <w:sz w:val="21"/>
                <w:szCs w:val="21"/>
                <w:color w:val="auto"/>
              </w:rPr>
            </w:pPr>
          </w:p>
        </w:tc>
        <w:tc>
          <w:tcPr>
            <w:tcW w:w="1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81,718</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3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7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81,718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110" w:type="dxa"/>
            <w:vAlign w:val="bottom"/>
          </w:tcPr>
          <w:p>
            <w:pPr>
              <w:spacing w:after="0"/>
              <w:rPr>
                <w:sz w:val="21"/>
                <w:szCs w:val="21"/>
                <w:color w:val="auto"/>
              </w:rPr>
            </w:pPr>
          </w:p>
        </w:tc>
        <w:tc>
          <w:tcPr>
            <w:tcW w:w="85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7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U.S. Treasuries</w:t>
            </w:r>
          </w:p>
        </w:tc>
        <w:tc>
          <w:tcPr>
            <w:tcW w:w="10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85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9,977</w:t>
            </w:r>
          </w:p>
        </w:tc>
        <w:tc>
          <w:tcPr>
            <w:tcW w:w="20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63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87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9,977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10" w:type="dxa"/>
            <w:vAlign w:val="bottom"/>
          </w:tcPr>
          <w:p>
            <w:pPr>
              <w:spacing w:after="0"/>
              <w:rPr>
                <w:sz w:val="20"/>
                <w:szCs w:val="20"/>
                <w:color w:val="auto"/>
              </w:rPr>
            </w:pPr>
          </w:p>
        </w:tc>
        <w:tc>
          <w:tcPr>
            <w:tcW w:w="8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9,977</w:t>
            </w:r>
          </w:p>
        </w:tc>
        <w:tc>
          <w:tcPr>
            <w:tcW w:w="2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3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Restricted cash equivalents</w:t>
            </w:r>
          </w:p>
        </w:tc>
        <w:tc>
          <w:tcPr>
            <w:tcW w:w="1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85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3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87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3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fair value of the Company’s cash equivalents and restricted cash equivalents is based on quoted market prices in active markets with no valuation adjustment. The fair values of marketable securities and warrant liabilities are determined based on observable market inputs. During the years ended December 31, 2025 and 2024, there were no transfers between levels.</w:t>
      </w:r>
    </w:p>
    <w:p>
      <w:pPr>
        <w:spacing w:after="0" w:line="193" w:lineRule="exact"/>
        <w:rPr>
          <w:sz w:val="20"/>
          <w:szCs w:val="20"/>
          <w:color w:val="auto"/>
        </w:rPr>
      </w:pPr>
    </w:p>
    <w:p>
      <w:pPr>
        <w:ind w:right="440" w:firstLine="490"/>
        <w:spacing w:after="0" w:line="278" w:lineRule="auto"/>
        <w:rPr>
          <w:sz w:val="20"/>
          <w:szCs w:val="20"/>
          <w:color w:val="auto"/>
        </w:rPr>
      </w:pPr>
      <w:r>
        <w:rPr>
          <w:rFonts w:ascii="Times New Roman" w:cs="Times New Roman" w:eastAsia="Times New Roman" w:hAnsi="Times New Roman"/>
          <w:sz w:val="20"/>
          <w:szCs w:val="20"/>
          <w:color w:val="auto"/>
        </w:rPr>
        <w:t>Prepaid expenses, accounts payable and accrued expenses are stated at their respective historical carrying values which approximate fair value due to their short-term nature.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Property and Equipment, Net</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4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7"/>
                <w:szCs w:val="17"/>
                <w:color w:val="auto"/>
              </w:rPr>
            </w:pPr>
          </w:p>
        </w:tc>
      </w:tr>
      <w:tr>
        <w:trPr>
          <w:trHeight w:val="220"/>
        </w:trPr>
        <w:tc>
          <w:tcPr>
            <w:tcW w:w="6420" w:type="dxa"/>
            <w:vAlign w:val="bottom"/>
            <w:gridSpan w:val="2"/>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Laboratory equipment</w:t>
            </w:r>
          </w:p>
        </w:tc>
        <w:tc>
          <w:tcPr>
            <w:tcW w:w="14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9,625</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Manufacturing equipment</w:t>
            </w:r>
          </w:p>
        </w:tc>
        <w:tc>
          <w:tcPr>
            <w:tcW w:w="140" w:type="dxa"/>
            <w:vAlign w:val="bottom"/>
          </w:tcPr>
          <w:p>
            <w:pPr>
              <w:spacing w:after="0"/>
              <w:rPr>
                <w:sz w:val="20"/>
                <w:szCs w:val="20"/>
                <w:color w:val="auto"/>
              </w:rPr>
            </w:pPr>
          </w:p>
        </w:tc>
        <w:tc>
          <w:tcPr>
            <w:tcW w:w="142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7,082</w:t>
            </w:r>
          </w:p>
        </w:tc>
      </w:tr>
      <w:tr>
        <w:trPr>
          <w:trHeight w:val="22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4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446</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Furniture, fixtures and other</w:t>
            </w: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606</w:t>
            </w: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40" w:type="dxa"/>
            <w:vAlign w:val="bottom"/>
            <w:shd w:val="clear" w:color="auto" w:fill="CFF0FC"/>
          </w:tcPr>
          <w:p>
            <w:pPr>
              <w:spacing w:after="0"/>
              <w:rPr>
                <w:sz w:val="20"/>
                <w:szCs w:val="20"/>
                <w:color w:val="auto"/>
              </w:rPr>
            </w:pPr>
          </w:p>
        </w:tc>
        <w:tc>
          <w:tcPr>
            <w:tcW w:w="142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36</w:t>
            </w:r>
          </w:p>
        </w:tc>
      </w:tr>
      <w:tr>
        <w:trPr>
          <w:trHeight w:val="220"/>
        </w:trPr>
        <w:tc>
          <w:tcPr>
            <w:tcW w:w="6420" w:type="dxa"/>
            <w:vAlign w:val="bottom"/>
            <w:gridSpan w:val="2"/>
          </w:tcPr>
          <w:p>
            <w:pPr>
              <w:ind w:left="3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17,795</w:t>
            </w:r>
          </w:p>
        </w:tc>
        <w:tc>
          <w:tcPr>
            <w:tcW w:w="100" w:type="dxa"/>
            <w:vAlign w:val="bottom"/>
          </w:tcPr>
          <w:p>
            <w:pPr>
              <w:spacing w:after="0"/>
              <w:rPr>
                <w:sz w:val="19"/>
                <w:szCs w:val="19"/>
                <w:color w:val="auto"/>
              </w:rPr>
            </w:pPr>
          </w:p>
        </w:tc>
      </w:tr>
      <w:tr>
        <w:trPr>
          <w:trHeight w:val="22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(11,214)</w:t>
            </w:r>
          </w:p>
        </w:tc>
      </w:tr>
      <w:tr>
        <w:trPr>
          <w:trHeight w:val="222"/>
        </w:trPr>
        <w:tc>
          <w:tcPr>
            <w:tcW w:w="6420" w:type="dxa"/>
            <w:vAlign w:val="bottom"/>
            <w:gridSpan w:val="2"/>
          </w:tcPr>
          <w:p>
            <w:pPr>
              <w:ind w:left="300"/>
              <w:spacing w:after="0" w:line="223" w:lineRule="exact"/>
              <w:rPr>
                <w:sz w:val="20"/>
                <w:szCs w:val="20"/>
                <w:color w:val="auto"/>
              </w:rPr>
            </w:pPr>
            <w:r>
              <w:rPr>
                <w:rFonts w:ascii="Times New Roman" w:cs="Times New Roman" w:eastAsia="Times New Roman" w:hAnsi="Times New Roman"/>
                <w:sz w:val="20"/>
                <w:szCs w:val="20"/>
                <w:color w:val="auto"/>
              </w:rPr>
              <w:t>Property and equipment, net</w:t>
            </w:r>
          </w:p>
        </w:tc>
        <w:tc>
          <w:tcPr>
            <w:tcW w:w="1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6,581</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firstLine="612"/>
        <w:spacing w:after="0" w:line="249" w:lineRule="auto"/>
        <w:rPr>
          <w:sz w:val="20"/>
          <w:szCs w:val="20"/>
          <w:color w:val="auto"/>
        </w:rPr>
      </w:pPr>
      <w:r>
        <w:rPr>
          <w:rFonts w:ascii="Times New Roman" w:cs="Times New Roman" w:eastAsia="Times New Roman" w:hAnsi="Times New Roman"/>
          <w:sz w:val="20"/>
          <w:szCs w:val="20"/>
          <w:color w:val="auto"/>
        </w:rPr>
        <w:t xml:space="preserve">Depreciation expense for the years ended December 31, 2025 and 2024 was $2.9 million and $3.5 million, respectively. In connection with the Restructuring Plan (as defined below in Note 16, </w:t>
      </w:r>
      <w:r>
        <w:rPr>
          <w:rFonts w:ascii="Times New Roman" w:cs="Times New Roman" w:eastAsia="Times New Roman" w:hAnsi="Times New Roman"/>
          <w:sz w:val="20"/>
          <w:szCs w:val="20"/>
          <w:i w:val="1"/>
          <w:iCs w:val="1"/>
          <w:color w:val="auto"/>
        </w:rPr>
        <w:t>Restructuring</w:t>
      </w:r>
      <w:r>
        <w:rPr>
          <w:rFonts w:ascii="Times New Roman" w:cs="Times New Roman" w:eastAsia="Times New Roman" w:hAnsi="Times New Roman"/>
          <w:sz w:val="20"/>
          <w:szCs w:val="20"/>
          <w:color w:val="auto"/>
        </w:rPr>
        <w:t>), during the year ended December 31, 2025, the Company recognized a $3.3 million loss on disposal of certain long-lived assets including equipment and leasehold improvements which was recognized as research and development expense in the consolidated statements of operations and comprehensive loss.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Accrued Expenses and Other Current Liabilities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7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Employee-related expenses</w:t>
            </w:r>
          </w:p>
        </w:tc>
        <w:tc>
          <w:tcPr>
            <w:tcW w:w="2860" w:type="dxa"/>
            <w:vAlign w:val="bottom"/>
            <w:gridSpan w:val="2"/>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shd w:val="clear" w:color="auto" w:fill="CFF0FC"/>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3,066</w:t>
            </w:r>
          </w:p>
        </w:tc>
        <w:tc>
          <w:tcPr>
            <w:tcW w:w="14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shd w:val="clear" w:color="auto" w:fill="CFF0FC"/>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5,852</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1,366</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1,461</w:t>
            </w: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Clinical expenses</w:t>
            </w:r>
          </w:p>
        </w:tc>
        <w:tc>
          <w:tcPr>
            <w:tcW w:w="27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8,466</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3,835</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expenses</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6,071</w:t>
            </w: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516</w:t>
            </w: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27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241</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872</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554</w:t>
            </w:r>
          </w:p>
        </w:tc>
        <w:tc>
          <w:tcPr>
            <w:tcW w:w="1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356</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27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vMerge w:val="continue"/>
            <w:shd w:val="clear" w:color="auto" w:fill="CFF0FC"/>
          </w:tcPr>
          <w:p>
            <w:pPr>
              <w:spacing w:after="0"/>
              <w:rPr>
                <w:sz w:val="19"/>
                <w:szCs w:val="19"/>
                <w:color w:val="auto"/>
              </w:rPr>
            </w:pPr>
          </w:p>
        </w:tc>
        <w:tc>
          <w:tcPr>
            <w:tcW w:w="27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shd w:val="clear" w:color="auto" w:fill="CFF0FC"/>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19,764</w:t>
            </w:r>
          </w:p>
        </w:tc>
        <w:tc>
          <w:tcPr>
            <w:tcW w:w="140" w:type="dxa"/>
            <w:vAlign w:val="bottom"/>
            <w:shd w:val="clear" w:color="auto" w:fill="CFF0FC"/>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shd w:val="clear" w:color="auto" w:fill="CFF0FC"/>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12,892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3700" w:type="dxa"/>
            <w:vAlign w:val="bottom"/>
          </w:tcPr>
          <w:p>
            <w:pPr>
              <w:spacing w:after="0"/>
              <w:rPr>
                <w:sz w:val="24"/>
                <w:szCs w:val="24"/>
                <w:color w:val="auto"/>
              </w:rPr>
            </w:pPr>
          </w:p>
        </w:tc>
        <w:tc>
          <w:tcPr>
            <w:tcW w:w="2860" w:type="dxa"/>
            <w:vAlign w:val="bottom"/>
            <w:gridSpan w:val="2"/>
          </w:tcPr>
          <w:p>
            <w:pPr>
              <w:jc w:val="right"/>
              <w:ind w:right="1600"/>
              <w:spacing w:after="0"/>
              <w:rPr>
                <w:sz w:val="20"/>
                <w:szCs w:val="20"/>
                <w:color w:val="auto"/>
              </w:rPr>
            </w:pPr>
            <w:r>
              <w:rPr>
                <w:rFonts w:ascii="Times New Roman" w:cs="Times New Roman" w:eastAsia="Times New Roman" w:hAnsi="Times New Roman"/>
                <w:sz w:val="20"/>
                <w:szCs w:val="20"/>
                <w:color w:val="auto"/>
              </w:rPr>
              <w:t>F-14</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1440" w:right="1440" w:bottom="139" w:gutter="0" w:footer="0" w:header="0"/>
        </w:sectPr>
      </w:pPr>
    </w:p>
    <w:bookmarkStart w:id="119" w:name="page120"/>
    <w:bookmarkEnd w:id="119"/>
    <w:p>
      <w:pPr>
        <w:spacing w:after="0" w:line="200" w:lineRule="exact"/>
        <w:rPr>
          <w:sz w:val="20"/>
          <w:szCs w:val="20"/>
          <w:color w:val="auto"/>
        </w:rPr>
      </w:pPr>
    </w:p>
    <w:p>
      <w:pPr>
        <w:spacing w:after="0" w:line="246" w:lineRule="exact"/>
        <w:rPr>
          <w:sz w:val="20"/>
          <w:szCs w:val="20"/>
          <w:color w:val="auto"/>
        </w:rPr>
      </w:pPr>
    </w:p>
    <w:p>
      <w:pPr>
        <w:ind w:right="7360"/>
        <w:spacing w:after="0" w:line="367" w:lineRule="auto"/>
        <w:tabs>
          <w:tab w:leader="none" w:pos="20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Stockholders' Equity </w:t>
      </w:r>
      <w:r>
        <w:rPr>
          <w:rFonts w:ascii="Times New Roman" w:cs="Times New Roman" w:eastAsia="Times New Roman" w:hAnsi="Times New Roman"/>
          <w:sz w:val="20"/>
          <w:szCs w:val="20"/>
          <w:b w:val="1"/>
          <w:bCs w:val="1"/>
          <w:i w:val="1"/>
          <w:iCs w:val="1"/>
          <w:color w:val="auto"/>
        </w:rPr>
        <w:t>Common Stock</w:t>
      </w:r>
    </w:p>
    <w:p>
      <w:pPr>
        <w:spacing w:after="0" w:line="1" w:lineRule="exact"/>
        <w:rPr>
          <w:sz w:val="20"/>
          <w:szCs w:val="20"/>
          <w:color w:val="auto"/>
        </w:rPr>
      </w:pPr>
    </w:p>
    <w:p>
      <w:pPr>
        <w:ind w:right="220" w:firstLine="612"/>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Company’s authorized capital stock included 800,000,000 and 400,000,000 shares of its $0.0001 par value common stock, respectively, and 10,000,000 shares of its $0.0001 par value preferred stock.</w:t>
      </w:r>
    </w:p>
    <w:p>
      <w:pPr>
        <w:spacing w:after="0" w:line="68" w:lineRule="exact"/>
        <w:rPr>
          <w:sz w:val="20"/>
          <w:szCs w:val="20"/>
          <w:color w:val="auto"/>
        </w:rPr>
      </w:pPr>
    </w:p>
    <w:p>
      <w:pPr>
        <w:ind w:right="60" w:firstLine="612"/>
        <w:spacing w:after="0" w:line="244" w:lineRule="auto"/>
        <w:rPr>
          <w:sz w:val="20"/>
          <w:szCs w:val="20"/>
          <w:color w:val="auto"/>
        </w:rPr>
      </w:pPr>
      <w:r>
        <w:rPr>
          <w:rFonts w:ascii="Times New Roman" w:cs="Times New Roman" w:eastAsia="Times New Roman" w:hAnsi="Times New Roman"/>
          <w:sz w:val="20"/>
          <w:szCs w:val="20"/>
          <w:color w:val="auto"/>
        </w:rPr>
        <w:t>Each share of common stock entitles the holder to one vote on all matters submitted to a vote of the Company’s stockholders provided, however, that, except as otherwise required by law, holders of common stock shall not be entitled to vote on any amendment to the Company’s certificate of incorporation, as amended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have been declared or paid as of and for either of the years ended December 31, 2025 and 2024.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Sales</w:t>
      </w:r>
    </w:p>
    <w:p>
      <w:pPr>
        <w:spacing w:after="0" w:line="120" w:lineRule="exact"/>
        <w:rPr>
          <w:sz w:val="20"/>
          <w:szCs w:val="20"/>
          <w:color w:val="auto"/>
        </w:rPr>
      </w:pPr>
    </w:p>
    <w:p>
      <w:pPr>
        <w:ind w:right="140" w:firstLine="612"/>
        <w:spacing w:after="0" w:line="252"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sold 1,910,861 and 12,454 shares of common stock, respectively, in at-the-market offerings at a weighted average price per share of $37.06 and $32.09, respectively, for aggregate net proceeds of $70.1 million and $0.3 million, respectively, after deducting commissions.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Private Placement</w:t>
      </w:r>
    </w:p>
    <w:p>
      <w:pPr>
        <w:spacing w:after="0" w:line="11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On December 27, 2024, the Company entered into a purchase agreement with certain institutional investors pursuant to which the Company issued and sold in a private placement an aggregate of (i) 2,793,562 shares of the Company's common stock and (ii) warrants to purchase up to 3,491,953 shares of the Company's common stock (the "2024 Warrants") at the closing of the private placement on December 30, 2024. Net proceeds from the private placement were $52.7 million, after deducting placement fees and issuance costs payable by the Company.</w:t>
      </w:r>
    </w:p>
    <w:p>
      <w:pPr>
        <w:spacing w:after="0" w:line="7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2024 Warrants have an exercise price of $16.76 per share and are immediately exercisable, subject to certain limitations on exercise set forth in the 2024 Warrants. The 2024 Warrants will terminate on December 30, 2031.</w:t>
      </w:r>
    </w:p>
    <w:p>
      <w:pPr>
        <w:spacing w:after="0" w:line="6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Company determined that the 2024 Warrants are freestanding instruments that do not meet the definition of a liability or derivative. The 2024 Warrants are indexed to the Company’s common stock and meet all other conditions for equity classification and have continued to meet such conditions for all periods presented. Accordingly, the 2024 Warrants are classified as equity and accounted for as a component of additional paid-in capital. The Company also determined that the 2024 Warrants should be included in the determination of diluted net loss per share if their impact is dilutive. However, they are not included within diluted net loss per share for the years ended December 31, 2025 or 2024 as their effect would be antidilutive.</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none of the 2024 Warrants have been exercised.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June 2025 Private Placement</w:t>
      </w:r>
    </w:p>
    <w:p>
      <w:pPr>
        <w:spacing w:after="0" w:line="119" w:lineRule="exact"/>
        <w:rPr>
          <w:sz w:val="20"/>
          <w:szCs w:val="20"/>
          <w:color w:val="auto"/>
        </w:rPr>
      </w:pPr>
    </w:p>
    <w:p>
      <w:pPr>
        <w:ind w:right="240" w:firstLine="720"/>
        <w:spacing w:after="0" w:line="245" w:lineRule="auto"/>
        <w:rPr>
          <w:sz w:val="20"/>
          <w:szCs w:val="20"/>
          <w:color w:val="auto"/>
        </w:rPr>
      </w:pPr>
      <w:r>
        <w:rPr>
          <w:rFonts w:ascii="Times New Roman" w:cs="Times New Roman" w:eastAsia="Times New Roman" w:hAnsi="Times New Roman"/>
          <w:sz w:val="20"/>
          <w:szCs w:val="20"/>
          <w:color w:val="auto"/>
        </w:rPr>
        <w:t>On June 25, 2025, the Company entered into a purchase agreement with certain institutional investors (collectively, the “2025 Purchasers”), pursuant to which the Company issued and sold to the 2025 Purchasers in a private placement pre-funded warrants to purchase up to an aggregate of 34,999,999 shares of the Company's common stock (the “2025 PIPE Warrants”) at the closing on June 27, 2025. Net proceeds from the private placement were $174.4 million, after deducting issuance costs payable by the Company. In addition to the 2025 PIPE Warrants, on June 25, 2025 the Company issued a warrant to purchase up to 16,000,000 shares of the Company’s common stock as partial consideration for the Telitacicept License Agreement (as defined below) to a subsidiary of RemeGen Co., Ltd. ("Remegen") (the “RemeGen Warrant”). Refer to Note 10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9360"/>
          </w:cols>
          <w:pgMar w:left="1440" w:top="1440" w:right="1440" w:bottom="175" w:gutter="0" w:footer="0" w:header="0"/>
        </w:sectPr>
      </w:pPr>
    </w:p>
    <w:bookmarkStart w:id="120" w:name="page121"/>
    <w:bookmarkEnd w:id="120"/>
    <w:p>
      <w:pPr>
        <w:ind w:right="40"/>
        <w:spacing w:after="0" w:line="277" w:lineRule="auto"/>
        <w:rPr>
          <w:sz w:val="20"/>
          <w:szCs w:val="20"/>
          <w:color w:val="auto"/>
        </w:rPr>
      </w:pPr>
      <w:r>
        <w:rPr>
          <w:rFonts w:ascii="Times New Roman" w:cs="Times New Roman" w:eastAsia="Times New Roman" w:hAnsi="Times New Roman"/>
          <w:sz w:val="20"/>
          <w:szCs w:val="20"/>
          <w:color w:val="auto"/>
        </w:rPr>
        <w:t>information on the license arrangement. The 2025 PIPE Warrants and RemeGen Warrant are collectively referred to as the 2025 Warrants.</w:t>
      </w:r>
    </w:p>
    <w:p>
      <w:pPr>
        <w:spacing w:after="0" w:line="49" w:lineRule="exact"/>
        <w:rPr>
          <w:sz w:val="20"/>
          <w:szCs w:val="20"/>
          <w:color w:val="auto"/>
        </w:rPr>
      </w:pPr>
    </w:p>
    <w:p>
      <w:pPr>
        <w:jc w:val="both"/>
        <w:ind w:right="160" w:firstLine="720"/>
        <w:spacing w:after="0" w:line="252" w:lineRule="auto"/>
        <w:rPr>
          <w:sz w:val="20"/>
          <w:szCs w:val="20"/>
          <w:color w:val="auto"/>
        </w:rPr>
      </w:pPr>
      <w:r>
        <w:rPr>
          <w:rFonts w:ascii="Times New Roman" w:cs="Times New Roman" w:eastAsia="Times New Roman" w:hAnsi="Times New Roman"/>
          <w:sz w:val="20"/>
          <w:szCs w:val="20"/>
          <w:color w:val="auto"/>
        </w:rPr>
        <w:t>The 2025 Warrants have an exercise price of $0.002 per share and became exercisable upon stockholder approval of the issuance of the underlying shares and an amendment to the Certificate of Incorporation to increase the number of authorized shares, subject to certain limitations on exercise set forth in the 2025 Warrants. The 2025 Warrants do not expire.</w:t>
      </w:r>
    </w:p>
    <w:p>
      <w:pPr>
        <w:spacing w:after="0" w:line="7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Upon issuance, the 2025 Warrants were liability-classified as they are not considered indexed to the Company’s common stock. The 2025 Warrants are measured at fair value each period with changes in fair value presented within the consolidated statements of operations and comprehensive loss. The valuation of the 2025 Warrants is classified within Level 2 of the fair value hierarchy due to the use of observable market inputs, primarily the quoted price of the Company’s common stock underlying the warrants. The initial carrying value of the 2025 PIPE Warrants and the RemeGen Warrant at issuance was $175.0 million and $177.4 million, respectively. Issuance costs related to the 2025 PIPE Warrants were expensed as incurred.</w:t>
      </w:r>
    </w:p>
    <w:p>
      <w:pPr>
        <w:spacing w:after="0" w:line="79"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Company determined the 2025 Warrants should be included in the determination of diluted net loss per share if their impact is dilutive. However, they are not included within diluted net loss per share for the year ended December 31, 2025 as the effect would be antidilutive. Because the 2025 Warrants are liability-classified, they are excluded from basic net loss per share until exercised.</w:t>
      </w:r>
    </w:p>
    <w:p>
      <w:pPr>
        <w:spacing w:after="0" w:line="194"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5,079,640 of the 2025 Warrants were exercised for an immaterial amount of net proceeds, with certain of the exercises completed on a cashless basis. The remaining 45,920,359 outstanding 2025 Warrants had a fair value of $600.5 million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November 2025 Public Offering</w:t>
      </w:r>
    </w:p>
    <w:p>
      <w:pPr>
        <w:spacing w:after="0" w:line="23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On November 10, 2025, the Company entered into an underwriting agreement relating to the issuance and sale in a public offering of 11,500,000 shares of the Company’s common stock, including 1,500,00 shares purchased by the underwriters under a 30-day option to purchase additional shares (the “November 2025 Offering”) at a public offering price of $10.00 per share. The net proceeds to the Company from the November 2025 Offering were $107.7 million after deducting the underwriting discounts and commissions and offering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December 2025 Private Placement</w:t>
      </w:r>
    </w:p>
    <w:p>
      <w:pPr>
        <w:spacing w:after="0" w:line="23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On December 15, 2025, the Company entered into a securities purchase agreement with certain investors pursuant to which the Company, in a private placement, issued and sold an aggregate of 13,876,032 shares of common stock, at a price per share of $10.81, for net proceeds of $149.9 million after deducting offering expenses (the “December 2025 Private Placement”).</w:t>
      </w:r>
    </w:p>
    <w:p>
      <w:pPr>
        <w:spacing w:after="0" w:line="191" w:lineRule="exact"/>
        <w:rPr>
          <w:sz w:val="20"/>
          <w:szCs w:val="20"/>
          <w:color w:val="auto"/>
        </w:rPr>
      </w:pPr>
    </w:p>
    <w:p>
      <w:pPr>
        <w:ind w:right="6820"/>
        <w:spacing w:after="0" w:line="367" w:lineRule="auto"/>
        <w:tabs>
          <w:tab w:leader="none" w:pos="2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b w:val="1"/>
          <w:bCs w:val="1"/>
          <w:i w:val="1"/>
          <w:iCs w:val="1"/>
          <w:color w:val="auto"/>
        </w:rPr>
        <w:t>Stock Incentive Plans</w:t>
      </w:r>
    </w:p>
    <w:p>
      <w:pPr>
        <w:ind w:right="200" w:firstLine="612"/>
        <w:spacing w:after="0" w:line="252" w:lineRule="auto"/>
        <w:rPr>
          <w:sz w:val="20"/>
          <w:szCs w:val="20"/>
          <w:color w:val="auto"/>
        </w:rPr>
      </w:pPr>
      <w:r>
        <w:rPr>
          <w:rFonts w:ascii="Times New Roman" w:cs="Times New Roman" w:eastAsia="Times New Roman" w:hAnsi="Times New Roman"/>
          <w:sz w:val="20"/>
          <w:szCs w:val="20"/>
          <w:color w:val="auto"/>
        </w:rPr>
        <w:t>In December 2015, the Company’s board of directors adopted and approved the 2015 Stock Incentive Plan (as amended to date, the “2015 Plan”). The 2015 Plan provided for the granting of incentive stock options, non-statutory stock options, restricted stock awards and other stock-based awards to eligible employees, officers, directors, consultants and advisors as determined by the Company’s board of directors.</w:t>
      </w:r>
    </w:p>
    <w:p>
      <w:pPr>
        <w:spacing w:after="0" w:line="74" w:lineRule="exact"/>
        <w:rPr>
          <w:sz w:val="20"/>
          <w:szCs w:val="20"/>
          <w:color w:val="auto"/>
        </w:rPr>
      </w:pPr>
    </w:p>
    <w:p>
      <w:pPr>
        <w:ind w:right="20" w:firstLine="612"/>
        <w:spacing w:after="0" w:line="246" w:lineRule="auto"/>
        <w:rPr>
          <w:sz w:val="20"/>
          <w:szCs w:val="20"/>
          <w:color w:val="auto"/>
        </w:rPr>
      </w:pPr>
      <w:r>
        <w:rPr>
          <w:rFonts w:ascii="Times New Roman" w:cs="Times New Roman" w:eastAsia="Times New Roman" w:hAnsi="Times New Roman"/>
          <w:sz w:val="20"/>
          <w:szCs w:val="20"/>
          <w:color w:val="auto"/>
        </w:rPr>
        <w:t>In February 2021, the Company’s board of directors adopted and stockholders approved the 2021 Equity Incentive Plan (the “2021 Plan”). The 2021 Plan became effective on February 5, 2021, following which no further grants were or will be made under the 2015 Plan. In March 2024, the Company’s board of directors adopted an amendment and restatement of the 2021 Plan, which the Company’s stockholders approved in May 2024. The 2021 Plan provides for the grant of stock options, non-statutory stock options, restricted stock awards, restricted stock unit awards, stock appreciation rights, performance stock awards and other forms of stock compensation to the Company's employees, consultants and directors.</w:t>
      </w:r>
    </w:p>
    <w:p>
      <w:pPr>
        <w:spacing w:after="0" w:line="79" w:lineRule="exact"/>
        <w:rPr>
          <w:sz w:val="20"/>
          <w:szCs w:val="20"/>
          <w:color w:val="auto"/>
        </w:rPr>
      </w:pPr>
    </w:p>
    <w:p>
      <w:pPr>
        <w:ind w:right="140" w:firstLine="612"/>
        <w:spacing w:after="0" w:line="278" w:lineRule="auto"/>
        <w:rPr>
          <w:sz w:val="20"/>
          <w:szCs w:val="20"/>
          <w:color w:val="auto"/>
        </w:rPr>
      </w:pPr>
      <w:r>
        <w:rPr>
          <w:rFonts w:ascii="Times New Roman" w:cs="Times New Roman" w:eastAsia="Times New Roman" w:hAnsi="Times New Roman"/>
          <w:sz w:val="20"/>
          <w:szCs w:val="20"/>
          <w:color w:val="auto"/>
        </w:rPr>
        <w:t>The number of shares of the Company's common stock reserved for issuance under the 2021 Plan will automatically increase on January 1 of each year through January 1, 2035, by 4.0% of the total number of shares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9360"/>
          </w:cols>
          <w:pgMar w:left="1440" w:top="1420" w:right="1440" w:bottom="175" w:gutter="0" w:footer="0" w:header="0"/>
        </w:sectPr>
      </w:pPr>
    </w:p>
    <w:bookmarkStart w:id="121" w:name="page122"/>
    <w:bookmarkEnd w:id="121"/>
    <w:p>
      <w:pPr>
        <w:ind w:right="140"/>
        <w:spacing w:after="0" w:line="252" w:lineRule="auto"/>
        <w:rPr>
          <w:sz w:val="20"/>
          <w:szCs w:val="20"/>
          <w:color w:val="auto"/>
        </w:rPr>
      </w:pPr>
      <w:r>
        <w:rPr>
          <w:rFonts w:ascii="Times New Roman" w:cs="Times New Roman" w:eastAsia="Times New Roman" w:hAnsi="Times New Roman"/>
          <w:sz w:val="20"/>
          <w:szCs w:val="20"/>
          <w:color w:val="auto"/>
        </w:rPr>
        <w:t>as common stock outstanding on December 31 of the preceding calendar year. Any grants that expire or are canceled, terminated, forfeited, fail to vest, or are withheld to satisfy a tax withholding obligation are allowed to be reissued under 2021 Plan. As of December 31, 2025, the Company had 433,804 shares of its common stock available for future issuance under the 2021 Plan.</w:t>
      </w:r>
    </w:p>
    <w:p>
      <w:pPr>
        <w:spacing w:after="0" w:line="73"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August 2023, the Company’s board of directors adopted the Company’s 2023 Inducement Plan (the “2023 Inducement Plan”) pursuant to which the Company reserved 3,500,000 shares of common stock for issuance under the 2023 Inducement Plan. The 2023 Inducement Plan provides for the grant of non-statutory stock options, restricted stock awards, restricted stock unit awards, stock appreciation rights, performance awards and other forms of stock-based compensation to eligible individuals. In accordance with Nasdaq Marketplace Rule 5635(c)(4), awards under the 2023 Inducement Plan may only be made to individuals not previously employees or directors of the Company (or following such individuals’ bona fide period of non-employment with the Company), as an inducement material to the individuals’ entry into employment with the Company. Awards granted under the 2023 Inducement Plan must be approved by either a majority of the Company’s independent directors or the compensation committee of the Company’s board of directors. In June 2025, the Company’s board of directors approved an amendment to the 2023 Inducement Plan to reserve an additional 7,511,334 shares of common stock for issuance under the 2023 Inducement Plan. As of December 31, 2025, the Company had 2,539,361 shares of its common stock available for future issuance under the 2023 Inducement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February 2025 Option Repricing</w:t>
      </w:r>
    </w:p>
    <w:p>
      <w:pPr>
        <w:spacing w:after="0" w:line="119" w:lineRule="exact"/>
        <w:rPr>
          <w:sz w:val="20"/>
          <w:szCs w:val="20"/>
          <w:color w:val="auto"/>
        </w:rPr>
      </w:pPr>
    </w:p>
    <w:p>
      <w:pPr>
        <w:ind w:right="160" w:firstLine="720"/>
        <w:spacing w:after="0" w:line="242" w:lineRule="auto"/>
        <w:rPr>
          <w:sz w:val="20"/>
          <w:szCs w:val="20"/>
          <w:color w:val="auto"/>
        </w:rPr>
      </w:pPr>
      <w:r>
        <w:rPr>
          <w:rFonts w:ascii="Times New Roman" w:cs="Times New Roman" w:eastAsia="Times New Roman" w:hAnsi="Times New Roman"/>
          <w:sz w:val="20"/>
          <w:szCs w:val="20"/>
          <w:color w:val="auto"/>
        </w:rPr>
        <w:t>On February 3, 2025, the Company's board of directors approved a stock option repricing (the “February 2025 Option Repricing”) whereby the exercise price of certain outstanding options to purchase shares of the Company’s common stock was reduced to $26.80 per share. The repricing applied to options to purchase shares of the Company’s common stock held by continuing employees as of February 3, 2025 that had an exercise price per share greater than $26.80; provided that holders of repriced options must remain in continuous service with the Company through February 3, 2026 or, if earlier, a change in control of the Company or 30 days prior to the applicable repriced option’s original expiration date. If any such repriced option is exercised prior to such time, the exercise price per share will be the original exercise price per share, and not the repriced exercise price. The total number of shares underlying all repriced options was 337,809. The repriced options previously had exercise prices ranging from $27.20 to $899.20 per share. Management determined that the February 2025 Option Repricing represents a modification of share-based awards and calculated incremental compensation cost of $1.9 million resulting from the modification. However, as the conditions of the modified terms were not expected to be met, the Company has not recognized any incremental compensation cost associated with the February 2025 Option Repricing.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December 2025 Equity Award Cancellation and Replacement</w:t>
      </w:r>
    </w:p>
    <w:p>
      <w:pPr>
        <w:spacing w:after="0" w:line="119" w:lineRule="exact"/>
        <w:rPr>
          <w:sz w:val="20"/>
          <w:szCs w:val="20"/>
          <w:color w:val="auto"/>
        </w:rPr>
      </w:pPr>
    </w:p>
    <w:p>
      <w:pPr>
        <w:ind w:right="420" w:firstLine="720"/>
        <w:spacing w:after="0" w:line="249" w:lineRule="auto"/>
        <w:rPr>
          <w:sz w:val="20"/>
          <w:szCs w:val="20"/>
          <w:color w:val="auto"/>
        </w:rPr>
      </w:pPr>
      <w:r>
        <w:rPr>
          <w:rFonts w:ascii="Times New Roman" w:cs="Times New Roman" w:eastAsia="Times New Roman" w:hAnsi="Times New Roman"/>
          <w:sz w:val="20"/>
          <w:szCs w:val="20"/>
          <w:color w:val="auto"/>
        </w:rPr>
        <w:t>On December 5, 2025, the Company executed a cancellation of the Chief Financial Officer's award of 694,137 restricted stock units ("RSUs"), which was granted on July 9, 2025, and concurrently replaced it with a grant of 1,388,274 options on the date of cancellation. The cancellation and concurrent replacement grant was treated as an award modification. The incremental compensation cost resulting from this modification was $2.4 million, of which $0.1 million was recognized in the year ended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December 2025 Option Repricing</w:t>
      </w:r>
    </w:p>
    <w:p>
      <w:pPr>
        <w:spacing w:after="0" w:line="11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 December 5, 2025, the Company's board of directors approved a stock option repricing (the “ December 2025 Option Repricing”) whereby the exercise price of certain outstanding options to purchase shares of the Company’s common stock was reduced to $8.18 per share. The repricing applied to options to purchase shares of the Company’s common stock held by continuing employees as of December 5, 2025 that had an exercise price per share greater than $8.18; provided that holders of repriced options must remain in continuous service with the Company through December 5, 2027 or, if earlier, a change in control of the Company or 30 days prior to the applicable repriced option’s original expiration date. If any such repriced option is exercised prior to such time, the exercise price per share will be the original exercise price per share, and not the repriced exercise price. The total number of shares underlying all repriced options was 6,582,767. The repriced options previously had exercise prices ranging from $17.80 to $47.60 per share. Management determined that the December 2025 Option Repricing represents a modification of share-based awards and calculated incremental compensation cost of $7.0 million resulting from the modification. The Company recognized $0.1 of this incremental expense in the year ended December 31, 2025; the remaining incremental expense will be fully recognized by 2029.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9360"/>
          </w:cols>
          <w:pgMar w:left="1440" w:top="1420" w:right="1440" w:bottom="175" w:gutter="0" w:footer="0" w:header="0"/>
        </w:sectPr>
      </w:pPr>
    </w:p>
    <w:bookmarkStart w:id="122" w:name="page123"/>
    <w:bookmarkEnd w:id="122"/>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20" w:lineRule="exact"/>
        <w:rPr>
          <w:sz w:val="20"/>
          <w:szCs w:val="20"/>
          <w:color w:val="auto"/>
        </w:rPr>
      </w:pPr>
    </w:p>
    <w:p>
      <w:pPr>
        <w:ind w:right="20" w:firstLine="612"/>
        <w:spacing w:after="0" w:line="249" w:lineRule="auto"/>
        <w:rPr>
          <w:sz w:val="20"/>
          <w:szCs w:val="20"/>
          <w:color w:val="auto"/>
        </w:rPr>
      </w:pPr>
      <w:r>
        <w:rPr>
          <w:rFonts w:ascii="Times New Roman" w:cs="Times New Roman" w:eastAsia="Times New Roman" w:hAnsi="Times New Roman"/>
          <w:sz w:val="20"/>
          <w:szCs w:val="20"/>
          <w:color w:val="auto"/>
        </w:rPr>
        <w:t>The Company’s stock options generally vest over 48 months with 25% vesting after one year followed by ratable monthly vesting over three years and have a contractual term of 10 years. The weighted-average assumptions used principally in determining the fair value of options granted are presented in the table below. The below assumptions reflect those used to determine the original grant date fair value for options granted, and do not reflect the impact of the modifications described above.</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4044315</wp:posOffset>
                </wp:positionH>
                <wp:positionV relativeFrom="paragraph">
                  <wp:posOffset>15875</wp:posOffset>
                </wp:positionV>
                <wp:extent cx="178371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7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45pt,1.25pt" to="458.9pt,1.25pt" o:allowincell="f" strokecolor="#000000" strokeweight="0.4799pt"/>
            </w:pict>
          </mc:Fallback>
        </mc:AlternateConten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r>
      <w:tr>
        <w:trPr>
          <w:trHeight w:val="224"/>
        </w:trPr>
        <w:tc>
          <w:tcPr>
            <w:tcW w:w="6360" w:type="dxa"/>
            <w:vAlign w:val="bottom"/>
            <w:tcBorders>
              <w:top w:val="single" w:sz="8" w:color="CFF0FC"/>
            </w:tcBorders>
            <w:shd w:val="clear" w:color="auto" w:fill="CFF0FC"/>
          </w:tcPr>
          <w:p>
            <w:pPr>
              <w:spacing w:after="0" w:line="224" w:lineRule="exact"/>
              <w:rPr>
                <w:sz w:val="20"/>
                <w:szCs w:val="20"/>
                <w:color w:val="auto"/>
              </w:rPr>
            </w:pPr>
            <w:r>
              <w:rPr>
                <w:rFonts w:ascii="Times New Roman" w:cs="Times New Roman" w:eastAsia="Times New Roman" w:hAnsi="Times New Roman"/>
                <w:sz w:val="20"/>
                <w:szCs w:val="20"/>
                <w:color w:val="auto"/>
              </w:rPr>
              <w:t>Expected term (in years)</w:t>
            </w: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6.0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6.0</w:t>
            </w:r>
          </w:p>
        </w:tc>
        <w:tc>
          <w:tcPr>
            <w:tcW w:w="180" w:type="dxa"/>
            <w:vAlign w:val="bottom"/>
            <w:tcBorders>
              <w:top w:val="single" w:sz="8" w:color="CFF0FC"/>
            </w:tcBorders>
            <w:shd w:val="clear" w:color="auto" w:fill="CFF0FC"/>
          </w:tcPr>
          <w:p>
            <w:pPr>
              <w:spacing w:after="0"/>
              <w:rPr>
                <w:sz w:val="19"/>
                <w:szCs w:val="19"/>
                <w:color w:val="auto"/>
              </w:rPr>
            </w:pPr>
          </w:p>
        </w:tc>
      </w:tr>
      <w:tr>
        <w:trPr>
          <w:trHeight w:val="244"/>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98.9 %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88.9 %</w:t>
            </w:r>
          </w:p>
        </w:tc>
      </w:tr>
      <w:tr>
        <w:trPr>
          <w:trHeight w:val="24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CFF0FC"/>
              </w:rPr>
              <w:t>%</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CFF0FC"/>
              </w:rPr>
              <w:t>%</w:t>
            </w:r>
          </w:p>
        </w:tc>
      </w:tr>
      <w:tr>
        <w:trPr>
          <w:trHeight w:val="24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-149860</wp:posOffset>
                </wp:positionV>
                <wp:extent cx="59436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999pt" to="468pt,-11.7999pt" o:allowincell="f" strokecolor="#FFFFFF" strokeweight="0.7199pt"/>
            </w:pict>
          </mc:Fallback>
        </mc:AlternateConten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for the year ended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4"/>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5"/>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84"/>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3"/>
        </w:trPr>
        <w:tc>
          <w:tcPr>
            <w:tcW w:w="46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8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20"/>
        </w:trPr>
        <w:tc>
          <w:tcPr>
            <w:tcW w:w="4680" w:type="dxa"/>
            <w:vAlign w:val="bottom"/>
            <w:gridSpan w:val="2"/>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2024</w:t>
            </w:r>
          </w:p>
        </w:tc>
        <w:tc>
          <w:tcPr>
            <w:tcW w:w="104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457,152</w:t>
            </w:r>
          </w:p>
        </w:tc>
        <w:tc>
          <w:tcPr>
            <w:tcW w:w="180" w:type="dxa"/>
            <w:vAlign w:val="bottom"/>
            <w:gridSpan w:val="2"/>
            <w:shd w:val="clear" w:color="auto" w:fill="CFF0FC"/>
          </w:tcPr>
          <w:p>
            <w:pPr>
              <w:ind w:lef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right w:val="single" w:sz="8" w:color="CFF0FC"/>
            </w:tcBorders>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rPr>
              <w:t>104.41</w:t>
            </w:r>
          </w:p>
        </w:tc>
        <w:tc>
          <w:tcPr>
            <w:tcW w:w="1320" w:type="dxa"/>
            <w:vAlign w:val="bottom"/>
            <w:tcBorders>
              <w:right w:val="single" w:sz="8" w:color="CFF0FC"/>
            </w:tcBorders>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6.99</w:t>
            </w:r>
          </w:p>
        </w:tc>
        <w:tc>
          <w:tcPr>
            <w:tcW w:w="200" w:type="dxa"/>
            <w:vAlign w:val="bottom"/>
            <w:gridSpan w:val="2"/>
            <w:shd w:val="clear" w:color="auto" w:fill="CFF0FC"/>
          </w:tcPr>
          <w:p>
            <w:pPr>
              <w:ind w:left="8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shd w:val="clear" w:color="auto" w:fill="CFF0FC"/>
          </w:tcPr>
          <w:p>
            <w:pPr>
              <w:jc w:val="right"/>
              <w:spacing w:after="0" w:line="220" w:lineRule="exact"/>
              <w:rPr>
                <w:sz w:val="20"/>
                <w:szCs w:val="20"/>
                <w:color w:val="auto"/>
              </w:rPr>
            </w:pPr>
            <w:r>
              <w:rPr>
                <w:rFonts w:ascii="Times New Roman" w:cs="Times New Roman" w:eastAsia="Times New Roman" w:hAnsi="Times New Roman"/>
                <w:sz w:val="20"/>
                <w:szCs w:val="20"/>
                <w:color w:val="auto"/>
              </w:rPr>
              <w:t>211</w:t>
            </w:r>
          </w:p>
        </w:tc>
      </w:tr>
      <w:tr>
        <w:trPr>
          <w:trHeight w:val="230"/>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6,837,865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21.11</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4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Vested and exercised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tcBorders>
              <w:right w:val="single" w:sz="8" w:color="CFF0FC"/>
            </w:tcBorders>
          </w:tcPr>
          <w:p>
            <w:pPr>
              <w:jc w:val="right"/>
              <w:ind w:right="24"/>
              <w:spacing w:after="0"/>
              <w:rPr>
                <w:sz w:val="20"/>
                <w:szCs w:val="20"/>
                <w:color w:val="auto"/>
              </w:rPr>
            </w:pPr>
            <w:r>
              <w:rPr>
                <w:rFonts w:ascii="Times New Roman" w:cs="Times New Roman" w:eastAsia="Times New Roman" w:hAnsi="Times New Roman"/>
                <w:sz w:val="20"/>
                <w:szCs w:val="20"/>
                <w:color w:val="auto"/>
              </w:rPr>
              <w:t>34.33</w:t>
            </w:r>
          </w:p>
        </w:tc>
        <w:tc>
          <w:tcPr>
            <w:tcW w:w="1320" w:type="dxa"/>
            <w:vAlign w:val="bottom"/>
            <w:tcBorders>
              <w:right w:val="single" w:sz="8" w:color="CFF0FC"/>
            </w:tcBorders>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29"/>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(438,733)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44.45</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Expired</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(186,829)</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right w:val="single" w:sz="8" w:color="CFF0FC"/>
            </w:tcBorders>
          </w:tcPr>
          <w:p>
            <w:pPr>
              <w:jc w:val="right"/>
              <w:ind w:right="24"/>
              <w:spacing w:after="0"/>
              <w:rPr>
                <w:sz w:val="20"/>
                <w:szCs w:val="20"/>
                <w:color w:val="auto"/>
              </w:rPr>
            </w:pPr>
            <w:r>
              <w:rPr>
                <w:rFonts w:ascii="Times New Roman" w:cs="Times New Roman" w:eastAsia="Times New Roman" w:hAnsi="Times New Roman"/>
                <w:sz w:val="20"/>
                <w:szCs w:val="20"/>
                <w:color w:val="auto"/>
              </w:rPr>
              <w:t>136.36</w:t>
            </w:r>
          </w:p>
        </w:tc>
        <w:tc>
          <w:tcPr>
            <w:tcW w:w="1320" w:type="dxa"/>
            <w:vAlign w:val="bottom"/>
            <w:tcBorders>
              <w:right w:val="single" w:sz="8" w:color="CFF0FC"/>
            </w:tcBorders>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r>
      <w:tr>
        <w:trPr>
          <w:trHeight w:val="285"/>
        </w:trPr>
        <w:tc>
          <w:tcPr>
            <w:tcW w:w="4680" w:type="dxa"/>
            <w:vAlign w:val="bottom"/>
            <w:tcBorders>
              <w:bottom w:val="single" w:sz="8" w:color="CFF0FC"/>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Outstanding at December 31, 2025</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6,608,266</w:t>
            </w: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rPr>
              <w:t>10.32</w:t>
            </w:r>
          </w:p>
        </w:tc>
        <w:tc>
          <w:tcPr>
            <w:tcW w:w="1320" w:type="dxa"/>
            <w:vAlign w:val="bottom"/>
            <w:tcBorders>
              <w:bottom w:val="single" w:sz="8" w:color="CFF0FC"/>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9.39</w:t>
            </w:r>
          </w:p>
        </w:tc>
        <w:tc>
          <w:tcPr>
            <w:tcW w:w="200" w:type="dxa"/>
            <w:vAlign w:val="bottom"/>
            <w:tcBorders>
              <w:bottom w:val="single" w:sz="8" w:color="CFF0FC"/>
            </w:tcBorders>
            <w:gridSpan w:val="2"/>
          </w:tcPr>
          <w:p>
            <w:pPr>
              <w:ind w:left="8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CFF0FC"/>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31,429</w:t>
            </w:r>
          </w:p>
        </w:tc>
      </w:tr>
      <w:tr>
        <w:trPr>
          <w:trHeight w:val="196"/>
        </w:trPr>
        <w:tc>
          <w:tcPr>
            <w:tcW w:w="4680" w:type="dxa"/>
            <w:vAlign w:val="bottom"/>
            <w:tcBorders>
              <w:top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20"/>
                <w:szCs w:val="20"/>
                <w:color w:val="auto"/>
              </w:rPr>
              <w:t>Exercisable at December 31, 2025</w:t>
            </w:r>
          </w:p>
        </w:tc>
        <w:tc>
          <w:tcPr>
            <w:tcW w:w="1040" w:type="dxa"/>
            <w:vAlign w:val="bottom"/>
            <w:tcBorders>
              <w:top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20"/>
                <w:szCs w:val="20"/>
                <w:color w:val="auto"/>
              </w:rPr>
              <w:t>181,128</w:t>
            </w:r>
          </w:p>
        </w:tc>
        <w:tc>
          <w:tcPr>
            <w:tcW w:w="180" w:type="dxa"/>
            <w:vAlign w:val="bottom"/>
            <w:tcBorders>
              <w:top w:val="single" w:sz="8" w:color="CFF0FC"/>
            </w:tcBorders>
            <w:gridSpan w:val="2"/>
            <w:shd w:val="clear" w:color="auto" w:fill="CFF0FC"/>
          </w:tcPr>
          <w:p>
            <w:pPr>
              <w:ind w:left="80"/>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CFF0FC"/>
              <w:right w:val="single" w:sz="8" w:color="CFF0FC"/>
            </w:tcBorders>
          </w:tcPr>
          <w:p>
            <w:pPr>
              <w:jc w:val="right"/>
              <w:ind w:right="24"/>
              <w:spacing w:after="0" w:line="196" w:lineRule="exact"/>
              <w:rPr>
                <w:sz w:val="20"/>
                <w:szCs w:val="20"/>
                <w:color w:val="auto"/>
              </w:rPr>
            </w:pPr>
            <w:r>
              <w:rPr>
                <w:rFonts w:ascii="Times New Roman" w:cs="Times New Roman" w:eastAsia="Times New Roman" w:hAnsi="Times New Roman"/>
                <w:sz w:val="20"/>
                <w:szCs w:val="20"/>
                <w:color w:val="auto"/>
              </w:rPr>
              <w:t>82.86</w:t>
            </w:r>
          </w:p>
        </w:tc>
        <w:tc>
          <w:tcPr>
            <w:tcW w:w="1320" w:type="dxa"/>
            <w:vAlign w:val="bottom"/>
            <w:tcBorders>
              <w:top w:val="single" w:sz="8" w:color="CFF0FC"/>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20"/>
                <w:szCs w:val="20"/>
                <w:color w:val="auto"/>
              </w:rPr>
              <w:t>1.65</w:t>
            </w:r>
          </w:p>
        </w:tc>
        <w:tc>
          <w:tcPr>
            <w:tcW w:w="200" w:type="dxa"/>
            <w:vAlign w:val="bottom"/>
            <w:tcBorders>
              <w:top w:val="single" w:sz="8" w:color="CFF0FC"/>
            </w:tcBorders>
            <w:gridSpan w:val="2"/>
            <w:shd w:val="clear" w:color="auto" w:fill="CFF0FC"/>
          </w:tcPr>
          <w:p>
            <w:pPr>
              <w:ind w:left="80"/>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top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20"/>
                <w:szCs w:val="20"/>
                <w:color w:val="auto"/>
              </w:rPr>
              <w:t>56</w:t>
            </w: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-1097915</wp:posOffset>
            </wp:positionV>
            <wp:extent cx="2317115" cy="1082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extLst>
                    </a:blip>
                    <a:srcRect/>
                    <a:stretch>
                      <a:fillRect/>
                    </a:stretch>
                  </pic:blipFill>
                  <pic:spPr bwMode="auto">
                    <a:xfrm>
                      <a:off x="0" y="0"/>
                      <a:ext cx="2317115" cy="1082040"/>
                    </a:xfrm>
                    <a:prstGeom prst="rect">
                      <a:avLst/>
                    </a:prstGeom>
                    <a:noFill/>
                  </pic:spPr>
                </pic:pic>
              </a:graphicData>
            </a:graphic>
          </wp:anchor>
        </w:drawing>
      </w:r>
    </w:p>
    <w:p>
      <w:pPr>
        <w:spacing w:after="0" w:line="205"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6"/>
          <w:szCs w:val="16"/>
          <w:color w:val="auto"/>
        </w:rPr>
        <w:t>*Weighted-average exercise price for shares outstanding at the end of the period reflect the exercise price resulting from the February and December 2025 Option Repricings. Each of the other weighted-average exercise prices included above reflect the original grant date exercise price for such grants. None of the options exercisable at year-end were subject to the repricings.</w:t>
      </w:r>
    </w:p>
    <w:p>
      <w:pPr>
        <w:spacing w:after="0" w:line="196"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20"/>
          <w:szCs w:val="20"/>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respective date. The intrinsic value for options outstanding at the end of the period reflects the impact of the December 2025 Option Repricing.</w:t>
      </w:r>
    </w:p>
    <w:p>
      <w:pPr>
        <w:spacing w:after="0" w:line="71" w:lineRule="exact"/>
        <w:rPr>
          <w:sz w:val="20"/>
          <w:szCs w:val="20"/>
          <w:color w:val="auto"/>
        </w:rPr>
      </w:pPr>
    </w:p>
    <w:p>
      <w:pPr>
        <w:ind w:right="260" w:firstLine="612"/>
        <w:spacing w:after="0" w:line="246" w:lineRule="auto"/>
        <w:rPr>
          <w:sz w:val="20"/>
          <w:szCs w:val="20"/>
          <w:color w:val="auto"/>
        </w:rPr>
      </w:pPr>
      <w:r>
        <w:rPr>
          <w:rFonts w:ascii="Times New Roman" w:cs="Times New Roman" w:eastAsia="Times New Roman" w:hAnsi="Times New Roman"/>
          <w:sz w:val="20"/>
          <w:szCs w:val="20"/>
          <w:color w:val="auto"/>
        </w:rPr>
        <w:t>The weighted-average grant-date fair value of stock options granted during the years ended December 31, 2025 and 2024 was $15.09 and $29.60 per share, respectively. The weighted-average grant date fair value for options granted in 2025 reflects the original grant date fair value and does not reflect the impact of any repricing. The weighted-average fair value of the repriced options was $5.54 immediately prior to the repricing, and $6.60 immediately after the effect of the repricing. As of December 31, 2025, total unrecognized compensation expense related to stock options was $113.4 million which is expected to be recognized over a weighted-average period of 3.5 years. There were 61,189 stock options exercised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2240" w:h="15840" w:orient="portrait"/>
          <w:cols w:equalWidth="0" w:num="1">
            <w:col w:w="9360"/>
          </w:cols>
          <w:pgMar w:left="1440" w:top="1440" w:right="1440" w:bottom="175"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19" w:lineRule="exact"/>
        <w:rPr>
          <w:sz w:val="20"/>
          <w:szCs w:val="20"/>
          <w:color w:val="auto"/>
        </w:rPr>
      </w:pPr>
    </w:p>
    <w:p>
      <w:pPr>
        <w:jc w:val="both"/>
        <w:ind w:right="20" w:firstLine="612"/>
        <w:spacing w:after="0" w:line="259" w:lineRule="auto"/>
        <w:rPr>
          <w:sz w:val="20"/>
          <w:szCs w:val="20"/>
          <w:color w:val="auto"/>
        </w:rPr>
      </w:pPr>
      <w:r>
        <w:rPr>
          <w:rFonts w:ascii="Times New Roman" w:cs="Times New Roman" w:eastAsia="Times New Roman" w:hAnsi="Times New Roman"/>
          <w:sz w:val="20"/>
          <w:szCs w:val="20"/>
          <w:color w:val="auto"/>
        </w:rPr>
        <w:t>As of December 31, 2025, there were 186,325 restricted stock units outstanding under the 2021 Plan and the 2023 Inducement Plan. The following table summarizes the Company's unvested restricted stock unit activity for the year ended December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184"/>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03"/>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4"/>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Unvested at December 31, 2024</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66,046</w:t>
            </w:r>
          </w:p>
        </w:tc>
        <w:tc>
          <w:tcPr>
            <w:tcW w:w="2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58.35</w:t>
            </w:r>
          </w:p>
        </w:tc>
        <w:tc>
          <w:tcPr>
            <w:tcW w:w="100" w:type="dxa"/>
            <w:vAlign w:val="bottom"/>
            <w:tcBorders>
              <w:top w:val="single" w:sz="8" w:color="CFF0FC"/>
            </w:tcBorders>
            <w:shd w:val="clear" w:color="auto" w:fill="CFF0FC"/>
          </w:tcPr>
          <w:p>
            <w:pPr>
              <w:spacing w:after="0"/>
              <w:rPr>
                <w:sz w:val="20"/>
                <w:szCs w:val="20"/>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981,837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w:t>
            </w:r>
          </w:p>
        </w:tc>
        <w:tc>
          <w:tcPr>
            <w:tcW w:w="100" w:type="dxa"/>
            <w:vAlign w:val="bottom"/>
          </w:tcPr>
          <w:p>
            <w:pPr>
              <w:spacing w:after="0"/>
              <w:rPr>
                <w:sz w:val="21"/>
                <w:szCs w:val="21"/>
                <w:color w:val="auto"/>
              </w:rPr>
            </w:pPr>
          </w:p>
        </w:tc>
      </w:tr>
      <w:tr>
        <w:trPr>
          <w:trHeight w:val="244"/>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(30,638</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51.56</w:t>
            </w:r>
          </w:p>
        </w:tc>
        <w:tc>
          <w:tcPr>
            <w:tcW w:w="100" w:type="dxa"/>
            <w:vAlign w:val="bottom"/>
            <w:shd w:val="clear" w:color="auto" w:fill="CFF0FC"/>
          </w:tcPr>
          <w:p>
            <w:pPr>
              <w:spacing w:after="0"/>
              <w:rPr>
                <w:sz w:val="21"/>
                <w:szCs w:val="21"/>
                <w:color w:val="auto"/>
              </w:rPr>
            </w:pPr>
          </w:p>
        </w:tc>
      </w:tr>
      <w:tr>
        <w:trPr>
          <w:trHeight w:val="245"/>
        </w:trPr>
        <w:tc>
          <w:tcPr>
            <w:tcW w:w="62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20"/>
                <w:szCs w:val="20"/>
                <w:color w:val="auto"/>
              </w:rPr>
              <w:t>Forfeited or cancelled</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(830,920</w:t>
            </w:r>
          </w:p>
        </w:tc>
        <w:tc>
          <w:tcPr>
            <w:tcW w:w="220" w:type="dxa"/>
            <w:vAlign w:val="bottom"/>
            <w:tcBorders>
              <w:bottom w:val="single" w:sz="8" w:color="CFF0FC"/>
            </w:tcBorders>
          </w:tcPr>
          <w:p>
            <w:pPr>
              <w:jc w:val="right"/>
              <w:ind w:right="80"/>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49.41</w:t>
            </w:r>
          </w:p>
        </w:tc>
        <w:tc>
          <w:tcPr>
            <w:tcW w:w="100" w:type="dxa"/>
            <w:vAlign w:val="bottom"/>
            <w:tcBorders>
              <w:bottom w:val="single" w:sz="8" w:color="CFF0FC"/>
            </w:tcBorders>
          </w:tcPr>
          <w:p>
            <w:pPr>
              <w:spacing w:after="0"/>
              <w:rPr>
                <w:sz w:val="21"/>
                <w:szCs w:val="21"/>
                <w:color w:val="auto"/>
              </w:rPr>
            </w:pPr>
          </w:p>
        </w:tc>
      </w:tr>
      <w:tr>
        <w:trPr>
          <w:trHeight w:val="23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Unvested at December 31, 2025</w:t>
            </w: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186,325</w:t>
            </w:r>
          </w:p>
        </w:tc>
        <w:tc>
          <w:tcPr>
            <w:tcW w:w="2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35.40</w:t>
            </w:r>
          </w:p>
        </w:tc>
        <w:tc>
          <w:tcPr>
            <w:tcW w:w="100" w:type="dxa"/>
            <w:vAlign w:val="bottom"/>
            <w:shd w:val="clear" w:color="auto" w:fill="CFF0FC"/>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199pt"/>
            </w:pict>
          </mc:Fallback>
        </mc:AlternateContent>
      </w:r>
    </w:p>
    <w:p>
      <w:pPr>
        <w:spacing w:after="0" w:line="81" w:lineRule="exact"/>
        <w:rPr>
          <w:sz w:val="20"/>
          <w:szCs w:val="20"/>
          <w:color w:val="auto"/>
        </w:rPr>
      </w:pPr>
    </w:p>
    <w:p>
      <w:pPr>
        <w:jc w:val="both"/>
        <w:ind w:right="120" w:firstLine="612"/>
        <w:spacing w:after="0" w:line="278" w:lineRule="auto"/>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the unvested restricted stock units was $5.9 million, which is expected to be recognized over a weighted average period of 3.6 years.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Employee Stock Purchase Plan</w:t>
      </w:r>
    </w:p>
    <w:p>
      <w:pPr>
        <w:spacing w:after="0" w:line="120" w:lineRule="exact"/>
        <w:rPr>
          <w:sz w:val="20"/>
          <w:szCs w:val="20"/>
          <w:color w:val="auto"/>
        </w:rPr>
      </w:pPr>
    </w:p>
    <w:p>
      <w:pPr>
        <w:ind w:firstLine="612"/>
        <w:spacing w:after="0" w:line="245" w:lineRule="auto"/>
        <w:rPr>
          <w:sz w:val="20"/>
          <w:szCs w:val="20"/>
          <w:color w:val="auto"/>
        </w:rPr>
      </w:pPr>
      <w:r>
        <w:rPr>
          <w:rFonts w:ascii="Times New Roman" w:cs="Times New Roman" w:eastAsia="Times New Roman" w:hAnsi="Times New Roman"/>
          <w:sz w:val="20"/>
          <w:szCs w:val="20"/>
          <w:color w:val="auto"/>
        </w:rPr>
        <w:t>In February 2021, the Company’s board of directors adopted and stockholders approved the 2021 Employee Stock Purchase Plan (the “ESPP”). The ESPP became effective on February 5, 2021. The number of shares of common stock reserved for issuance under the ESPP will automatically increase on January 1 of each year through January 1, 2031, by the lesser of (i) 1% of the total number of shares of our common stock outstanding on December 31 of the preceding calendar year, and (ii) 90,000 shares. If purchase rights granted under the ESPP terminate without having been exercised, the shares of common stock not purchased under such purchase rights will again become available for issuance under the ESPP. As of December 31, 2025, the Company had 115,932 shares of its common stock available for future issuance under the ESPP.</w:t>
      </w:r>
    </w:p>
    <w:p>
      <w:pPr>
        <w:spacing w:after="0" w:line="81" w:lineRule="exact"/>
        <w:rPr>
          <w:sz w:val="20"/>
          <w:szCs w:val="20"/>
          <w:color w:val="auto"/>
        </w:rPr>
      </w:pPr>
    </w:p>
    <w:p>
      <w:pPr>
        <w:ind w:right="20" w:firstLine="612"/>
        <w:spacing w:after="0" w:line="249" w:lineRule="auto"/>
        <w:rPr>
          <w:sz w:val="20"/>
          <w:szCs w:val="20"/>
          <w:color w:val="auto"/>
        </w:rPr>
      </w:pPr>
      <w:r>
        <w:rPr>
          <w:rFonts w:ascii="Times New Roman" w:cs="Times New Roman" w:eastAsia="Times New Roman" w:hAnsi="Times New Roman"/>
          <w:sz w:val="20"/>
          <w:szCs w:val="20"/>
          <w:color w:val="auto"/>
        </w:rPr>
        <w:t>The ESPP permits eligible employees to purchase common stock through accumulated payroll deductions at a purchase price equal to 85% of the lesser of the market value of the common stock at the beginning of the 6-month offering period or on the purchase date. During the years ended December 31, 2025 and 2024, the Company issued 33,477 and 11,392 shares, respectively, with a weighted average purchase price per share of $2.91 and $19.60, respectively, which resulted in an immaterial amount of compensation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Stock-based compensation expense was allocated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FF0FC"/>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121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30" w:type="dxa"/>
            <w:vAlign w:val="bottom"/>
            <w:tcBorders>
              <w:top w:val="single" w:sz="8" w:color="CFF0FC"/>
            </w:tcBorders>
            <w:shd w:val="clear" w:color="auto" w:fill="CFF0FC"/>
          </w:tcPr>
          <w:p>
            <w:pPr>
              <w:spacing w:after="0" w:line="213" w:lineRule="exact"/>
              <w:rPr>
                <w:sz w:val="20"/>
                <w:szCs w:val="20"/>
                <w:color w:val="auto"/>
              </w:rPr>
            </w:pPr>
            <w:r>
              <w:rPr>
                <w:rFonts w:ascii="Times New Roman" w:cs="Times New Roman" w:eastAsia="Times New Roman" w:hAnsi="Times New Roman"/>
                <w:sz w:val="20"/>
                <w:szCs w:val="20"/>
                <w:color w:val="auto"/>
              </w:rPr>
              <w:t>Research and development</w:t>
            </w:r>
          </w:p>
        </w:tc>
        <w:tc>
          <w:tcPr>
            <w:tcW w:w="15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CFF0FC"/>
            </w:tcBorders>
            <w:shd w:val="clear" w:color="auto" w:fill="CFF0FC"/>
          </w:tcPr>
          <w:p>
            <w:pPr>
              <w:jc w:val="right"/>
              <w:spacing w:after="0" w:line="213" w:lineRule="exact"/>
              <w:rPr>
                <w:sz w:val="20"/>
                <w:szCs w:val="20"/>
                <w:color w:val="auto"/>
              </w:rPr>
            </w:pPr>
            <w:r>
              <w:rPr>
                <w:rFonts w:ascii="Times New Roman" w:cs="Times New Roman" w:eastAsia="Times New Roman" w:hAnsi="Times New Roman"/>
                <w:sz w:val="20"/>
                <w:szCs w:val="20"/>
                <w:color w:val="auto"/>
              </w:rPr>
              <w:t>1,957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0" w:type="dxa"/>
            <w:vAlign w:val="bottom"/>
            <w:tcBorders>
              <w:top w:val="single" w:sz="8" w:color="CFF0FC"/>
            </w:tcBorders>
            <w:shd w:val="clear" w:color="auto" w:fill="CFF0FC"/>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10" w:type="dxa"/>
            <w:vAlign w:val="bottom"/>
            <w:tcBorders>
              <w:top w:val="single" w:sz="8" w:color="CFF0FC"/>
            </w:tcBorders>
            <w:shd w:val="clear" w:color="auto" w:fill="CFF0FC"/>
          </w:tcPr>
          <w:p>
            <w:pPr>
              <w:jc w:val="right"/>
              <w:spacing w:after="0" w:line="213" w:lineRule="exact"/>
              <w:rPr>
                <w:sz w:val="20"/>
                <w:szCs w:val="20"/>
                <w:color w:val="auto"/>
              </w:rPr>
            </w:pPr>
            <w:r>
              <w:rPr>
                <w:rFonts w:ascii="Times New Roman" w:cs="Times New Roman" w:eastAsia="Times New Roman" w:hAnsi="Times New Roman"/>
                <w:sz w:val="20"/>
                <w:szCs w:val="20"/>
                <w:color w:val="auto"/>
              </w:rPr>
              <w:t>4,728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3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5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16,955</w:t>
            </w:r>
          </w:p>
        </w:tc>
        <w:tc>
          <w:tcPr>
            <w:tcW w:w="24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2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5,119</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230" w:type="dxa"/>
            <w:vAlign w:val="bottom"/>
            <w:tcBorders>
              <w:top w:val="single" w:sz="8" w:color="CFF0FC"/>
            </w:tcBorders>
            <w:shd w:val="clear" w:color="auto" w:fill="CFF0FC"/>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stock-based compensation expense</w:t>
            </w:r>
          </w:p>
        </w:tc>
        <w:tc>
          <w:tcPr>
            <w:tcW w:w="15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18,912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1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1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9,847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3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2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2pt"/>
            </w:pict>
          </mc:Fallback>
        </mc:AlternateContent>
      </w:r>
    </w:p>
    <w:p>
      <w:pPr>
        <w:spacing w:after="0" w:line="200" w:lineRule="exact"/>
        <w:rPr>
          <w:sz w:val="20"/>
          <w:szCs w:val="20"/>
          <w:color w:val="auto"/>
        </w:rPr>
      </w:pPr>
    </w:p>
    <w:p>
      <w:pPr>
        <w:spacing w:after="0" w:line="226" w:lineRule="exact"/>
        <w:rPr>
          <w:sz w:val="20"/>
          <w:szCs w:val="20"/>
          <w:color w:val="auto"/>
        </w:rPr>
      </w:pPr>
    </w:p>
    <w:p>
      <w:pPr>
        <w:ind w:right="7540"/>
        <w:spacing w:after="0" w:line="367" w:lineRule="auto"/>
        <w:tabs>
          <w:tab w:leader="none" w:pos="201"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b w:val="1"/>
          <w:bCs w:val="1"/>
          <w:i w:val="1"/>
          <w:iCs w:val="1"/>
          <w:color w:val="auto"/>
        </w:rPr>
        <w:t>Cambridgepark Lease</w:t>
      </w:r>
    </w:p>
    <w:p>
      <w:pPr>
        <w:spacing w:after="0" w:line="1" w:lineRule="exact"/>
        <w:rPr>
          <w:sz w:val="20"/>
          <w:szCs w:val="20"/>
          <w:color w:val="auto"/>
        </w:rPr>
      </w:pPr>
    </w:p>
    <w:p>
      <w:pPr>
        <w:ind w:right="460" w:firstLine="619"/>
        <w:spacing w:after="0" w:line="252" w:lineRule="auto"/>
        <w:rPr>
          <w:sz w:val="20"/>
          <w:szCs w:val="20"/>
          <w:color w:val="auto"/>
        </w:rPr>
      </w:pPr>
      <w:r>
        <w:rPr>
          <w:rFonts w:ascii="Times New Roman" w:cs="Times New Roman" w:eastAsia="Times New Roman" w:hAnsi="Times New Roman"/>
          <w:sz w:val="20"/>
          <w:szCs w:val="20"/>
          <w:color w:val="auto"/>
        </w:rPr>
        <w:t>In December 2019, the Company entered into a lease agreement for office and laboratory space (the “Cambridgepark Lease”) in Cambridge, Massachusetts with PPF Off 100 Cambridge Park Drive, LLC (the “Landlord”). During 2021 and 2022, the Company entered into various lease amendments with the Landlord to obtain additional leased space (the “Lease Amendments”).</w:t>
      </w:r>
    </w:p>
    <w:p>
      <w:pPr>
        <w:spacing w:after="0" w:line="73"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In connection with the Restructuring Plan, the Company entered into an early termination agreement with the Landlord on June 20, 2025, pursuant to which the parties agreed to terminate the lease, effective August 4, 2025. Per the terms of such agreement, the Company paid a non-refundable termination fee in the amount of $8.5 million to the Landlord. The early termination was treated as a lease modification for accounting purposes. As a result of the modification, the Company remeasured the lease liability and recognized a corresponding adjustment to the right-of-use asset as of the date of the modification. Additionally, as of June 30, 2025, the space was determined to be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9360"/>
          </w:cols>
          <w:pgMar w:left="1440" w:top="1420" w:right="1440" w:bottom="175" w:gutter="0" w:footer="0" w:header="0"/>
        </w:sectPr>
      </w:pPr>
    </w:p>
    <w:bookmarkStart w:id="124" w:name="page125"/>
    <w:bookmarkEnd w:id="124"/>
    <w:p>
      <w:pPr>
        <w:ind w:right="260"/>
        <w:spacing w:after="0" w:line="277" w:lineRule="auto"/>
        <w:rPr>
          <w:sz w:val="20"/>
          <w:szCs w:val="20"/>
          <w:color w:val="auto"/>
        </w:rPr>
      </w:pPr>
      <w:r>
        <w:rPr>
          <w:rFonts w:ascii="Times New Roman" w:cs="Times New Roman" w:eastAsia="Times New Roman" w:hAnsi="Times New Roman"/>
          <w:sz w:val="20"/>
          <w:szCs w:val="20"/>
          <w:color w:val="auto"/>
        </w:rPr>
        <w:t>abandoned, thus the Company accelerated amortization of the right-of-use asset and de-recognized any remaining balances.</w:t>
      </w:r>
    </w:p>
    <w:p>
      <w:pPr>
        <w:spacing w:after="0" w:line="49"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20"/>
          <w:szCs w:val="20"/>
          <w:color w:val="auto"/>
        </w:rPr>
        <w:t>In conjunction with the Cambridgepark Lease, the Company was required to execute an irrevocable standby letter of credit of $2.4 million for the benefit of the Landlord. The funds were released to the Company during the quarter ended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Boylston Lease</w:t>
      </w:r>
    </w:p>
    <w:p>
      <w:pPr>
        <w:spacing w:after="0" w:line="120"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In August 2025, the Company entered into a lease agreement for office space (“Boylston Lease”) with 500 Boylston &amp; 222 Berkeley Owner (DC) LLC (the “Boylston Landlord”). The commencement date of the lease was September 1, 2025, and the Boylston Lease will expire on August 31, 2031, unless terminated earlier in accordance with the lease agreement. The Company has the option to extend the term for one additional five-year period.</w:t>
      </w:r>
    </w:p>
    <w:p>
      <w:pPr>
        <w:spacing w:after="0" w:line="73"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Payments due associated with the Boylston Lease include both fixed and variable payments. Total fixed lease payments under the lease agreement are $3.8 million. Variable payments relate to the Company’s share of the Boylston Landlord’s operating costs associated with the underlying assets and are recognized when the event on which those payments are assessed occurs. The Boylston Lease does not contain a residual value guarantee.</w:t>
      </w:r>
    </w:p>
    <w:p>
      <w:pPr>
        <w:spacing w:after="0" w:line="74" w:lineRule="exact"/>
        <w:rPr>
          <w:sz w:val="20"/>
          <w:szCs w:val="20"/>
          <w:color w:val="auto"/>
        </w:rPr>
      </w:pPr>
    </w:p>
    <w:p>
      <w:pPr>
        <w:jc w:val="both"/>
        <w:ind w:right="140" w:firstLine="619"/>
        <w:spacing w:after="0" w:line="258" w:lineRule="auto"/>
        <w:rPr>
          <w:sz w:val="20"/>
          <w:szCs w:val="20"/>
          <w:color w:val="auto"/>
        </w:rPr>
      </w:pPr>
      <w:r>
        <w:rPr>
          <w:rFonts w:ascii="Times New Roman" w:cs="Times New Roman" w:eastAsia="Times New Roman" w:hAnsi="Times New Roman"/>
          <w:sz w:val="20"/>
          <w:szCs w:val="20"/>
          <w:color w:val="auto"/>
        </w:rPr>
        <w:t>In conjunction with the Boylston Lease, the Company was required to execute an irrevocable standby letter of credit of $0.2 million for the benefit of the Boylston Landlord. As of September 30, 2025, the funds securing the letter of credit were presented as restricted cash equivalents on the consolidated balance sheets.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elements of lease expense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2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1,637</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2,653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Total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340" w:firstLine="612"/>
        <w:spacing w:after="0" w:line="278" w:lineRule="auto"/>
        <w:rPr>
          <w:sz w:val="20"/>
          <w:szCs w:val="20"/>
          <w:color w:val="auto"/>
        </w:rPr>
      </w:pPr>
      <w:r>
        <w:rPr>
          <w:rFonts w:ascii="Times New Roman" w:cs="Times New Roman" w:eastAsia="Times New Roman" w:hAnsi="Times New Roman"/>
          <w:sz w:val="20"/>
          <w:szCs w:val="20"/>
          <w:color w:val="auto"/>
        </w:rPr>
        <w:t>Amounts reported in the consolidated balance sheets and the weight-average lease term and discount rate information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3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63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weighted-average amounts)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3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5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3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5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2,936</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35,007</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23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5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15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3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150" w:type="dxa"/>
            <w:vAlign w:val="bottom"/>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2,720</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27,615</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380" w:type="dxa"/>
            <w:vAlign w:val="bottom"/>
            <w:tcBorders>
              <w:bottom w:val="single" w:sz="8" w:color="CFF0FC"/>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lease liabilities</w:t>
            </w: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3,000</w:t>
            </w: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31,830</w:t>
            </w: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3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Weighted-Average Lease Term and Discount Rate</w:t>
            </w:r>
          </w:p>
        </w:tc>
        <w:tc>
          <w:tcPr>
            <w:tcW w:w="15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15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3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5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w w:val="83"/>
                <w:shd w:val="clear" w:color="auto" w:fill="CFF0FC"/>
              </w:rPr>
              <w:t>%</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w w:val="83"/>
                <w:shd w:val="clear" w:color="auto" w:fill="CFF0FC"/>
              </w:rPr>
              <w:t>%</w:t>
            </w:r>
          </w:p>
        </w:tc>
        <w:tc>
          <w:tcPr>
            <w:tcW w:w="0" w:type="dxa"/>
            <w:vAlign w:val="bottom"/>
          </w:tcPr>
          <w:p>
            <w:pPr>
              <w:spacing w:after="0"/>
              <w:rPr>
                <w:sz w:val="1"/>
                <w:szCs w:val="1"/>
                <w:color w:val="auto"/>
              </w:rPr>
            </w:pPr>
          </w:p>
        </w:tc>
      </w:tr>
      <w:tr>
        <w:trPr>
          <w:trHeight w:val="716"/>
        </w:trPr>
        <w:tc>
          <w:tcPr>
            <w:tcW w:w="63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The following table represents other lease activity: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0"/>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8"/>
        </w:trPr>
        <w:tc>
          <w:tcPr>
            <w:tcW w:w="63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Information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Operating cash flows for operating leases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12,030</w:t>
            </w:r>
          </w:p>
        </w:tc>
        <w:tc>
          <w:tcPr>
            <w:tcW w:w="8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-2904490</wp:posOffset>
            </wp:positionV>
            <wp:extent cx="8077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
                      <a:extLst>
                        <a:ext uri="{28A0092B-C50C-407E-A947-70E740481C1C}"/>
                      </a:extLst>
                    </a:blip>
                    <a:srcRect/>
                    <a:stretch>
                      <a:fillRect/>
                    </a:stretch>
                  </pic:blipFill>
                  <pic:spPr bwMode="auto">
                    <a:xfrm>
                      <a:off x="0" y="0"/>
                      <a:ext cx="807720" cy="18034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-2595245</wp:posOffset>
            </wp:positionV>
            <wp:extent cx="807720" cy="180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extLst>
                    </a:blip>
                    <a:srcRect/>
                    <a:stretch>
                      <a:fillRect/>
                    </a:stretch>
                  </pic:blipFill>
                  <pic:spPr bwMode="auto">
                    <a:xfrm>
                      <a:off x="0" y="0"/>
                      <a:ext cx="807720" cy="18097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-1940560</wp:posOffset>
            </wp:positionV>
            <wp:extent cx="807720" cy="180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
                      <a:extLst>
                        <a:ext uri="{28A0092B-C50C-407E-A947-70E740481C1C}"/>
                      </a:extLst>
                    </a:blip>
                    <a:srcRect/>
                    <a:stretch>
                      <a:fillRect/>
                    </a:stretch>
                  </pic:blipFill>
                  <pic:spPr bwMode="auto">
                    <a:xfrm>
                      <a:off x="0" y="0"/>
                      <a:ext cx="807720"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2240" w:h="15840" w:orient="portrait"/>
          <w:cols w:equalWidth="0" w:num="1">
            <w:col w:w="9360"/>
          </w:cols>
          <w:pgMar w:left="1440" w:top="1420" w:right="1440" w:bottom="175" w:gutter="0" w:footer="0" w:header="0"/>
        </w:sectPr>
      </w:pPr>
    </w:p>
    <w:bookmarkStart w:id="125" w:name="page126"/>
    <w:bookmarkEnd w:id="125"/>
    <w:p>
      <w:pPr>
        <w:ind w:left="620"/>
        <w:spacing w:after="0"/>
        <w:rPr>
          <w:sz w:val="20"/>
          <w:szCs w:val="20"/>
          <w:color w:val="auto"/>
        </w:rPr>
      </w:pPr>
      <w:r>
        <w:rPr>
          <w:rFonts w:ascii="Times New Roman" w:cs="Times New Roman" w:eastAsia="Times New Roman" w:hAnsi="Times New Roman"/>
          <w:sz w:val="20"/>
          <w:szCs w:val="20"/>
          <w:color w:val="auto"/>
        </w:rPr>
        <w:t>Future lease payments for noncancelable leases as of December 31, 2025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3"/>
        </w:trPr>
        <w:tc>
          <w:tcPr>
            <w:tcW w:w="7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80" w:type="dxa"/>
            <w:vAlign w:val="bottom"/>
            <w:tcBorders>
              <w:top w:val="single" w:sz="8" w:color="CFF0FC"/>
            </w:tcBorders>
            <w:shd w:val="clear" w:color="auto" w:fill="CFF0FC"/>
          </w:tcPr>
          <w:p>
            <w:pPr>
              <w:spacing w:after="0"/>
              <w:rPr>
                <w:sz w:val="20"/>
                <w:szCs w:val="20"/>
                <w:color w:val="auto"/>
              </w:rPr>
            </w:pPr>
          </w:p>
        </w:tc>
      </w:tr>
      <w:tr>
        <w:trPr>
          <w:trHeight w:val="24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w:t>
            </w:r>
          </w:p>
        </w:tc>
        <w:tc>
          <w:tcPr>
            <w:tcW w:w="80" w:type="dxa"/>
            <w:vAlign w:val="bottom"/>
          </w:tcPr>
          <w:p>
            <w:pPr>
              <w:spacing w:after="0"/>
              <w:rPr>
                <w:sz w:val="21"/>
                <w:szCs w:val="21"/>
                <w:color w:val="auto"/>
              </w:rPr>
            </w:pPr>
          </w:p>
        </w:tc>
      </w:tr>
      <w:tr>
        <w:trPr>
          <w:trHeight w:val="245"/>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80" w:type="dxa"/>
            <w:vAlign w:val="bottom"/>
            <w:shd w:val="clear" w:color="auto" w:fill="CFF0FC"/>
          </w:tcPr>
          <w:p>
            <w:pPr>
              <w:spacing w:after="0"/>
              <w:rPr>
                <w:sz w:val="21"/>
                <w:szCs w:val="21"/>
                <w:color w:val="auto"/>
              </w:rPr>
            </w:pPr>
          </w:p>
        </w:tc>
      </w:tr>
      <w:tr>
        <w:trPr>
          <w:trHeight w:val="24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80" w:type="dxa"/>
            <w:vAlign w:val="bottom"/>
          </w:tcPr>
          <w:p>
            <w:pPr>
              <w:spacing w:after="0"/>
              <w:rPr>
                <w:sz w:val="21"/>
                <w:szCs w:val="21"/>
                <w:color w:val="auto"/>
              </w:rPr>
            </w:pPr>
          </w:p>
        </w:tc>
      </w:tr>
      <w:tr>
        <w:trPr>
          <w:trHeight w:val="244"/>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80" w:type="dxa"/>
            <w:vAlign w:val="bottom"/>
            <w:shd w:val="clear" w:color="auto" w:fill="CFF0FC"/>
          </w:tcPr>
          <w:p>
            <w:pPr>
              <w:spacing w:after="0"/>
              <w:rPr>
                <w:sz w:val="21"/>
                <w:szCs w:val="21"/>
                <w:color w:val="auto"/>
              </w:rPr>
            </w:pPr>
          </w:p>
        </w:tc>
      </w:tr>
      <w:tr>
        <w:trPr>
          <w:trHeight w:val="245"/>
        </w:trPr>
        <w:tc>
          <w:tcPr>
            <w:tcW w:w="7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80" w:type="dxa"/>
            <w:vAlign w:val="bottom"/>
            <w:tcBorders>
              <w:bottom w:val="single" w:sz="8" w:color="CFF0FC"/>
            </w:tcBorders>
          </w:tcPr>
          <w:p>
            <w:pPr>
              <w:spacing w:after="0"/>
              <w:rPr>
                <w:sz w:val="21"/>
                <w:szCs w:val="21"/>
                <w:color w:val="auto"/>
              </w:rPr>
            </w:pPr>
          </w:p>
        </w:tc>
      </w:tr>
      <w:tr>
        <w:trPr>
          <w:trHeight w:val="233"/>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3,641</w:t>
            </w:r>
          </w:p>
        </w:tc>
        <w:tc>
          <w:tcPr>
            <w:tcW w:w="80" w:type="dxa"/>
            <w:vAlign w:val="bottom"/>
            <w:shd w:val="clear" w:color="auto" w:fill="CFF0FC"/>
          </w:tcPr>
          <w:p>
            <w:pPr>
              <w:spacing w:after="0"/>
              <w:rPr>
                <w:sz w:val="20"/>
                <w:szCs w:val="20"/>
                <w:color w:val="auto"/>
              </w:rPr>
            </w:pPr>
          </w:p>
        </w:tc>
      </w:tr>
      <w:tr>
        <w:trPr>
          <w:trHeight w:val="245"/>
        </w:trPr>
        <w:tc>
          <w:tcPr>
            <w:tcW w:w="7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34"/>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80" w:type="dxa"/>
            <w:vAlign w:val="bottom"/>
            <w:shd w:val="clear" w:color="auto" w:fill="CFF0FC"/>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2pt"/>
            </w:pict>
          </mc:Fallback>
        </mc:AlternateConten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Significant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Telitacicept License Agreement</w:t>
      </w:r>
    </w:p>
    <w:p>
      <w:pPr>
        <w:spacing w:after="0" w:line="12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On June 25, 2025, the Company and RemeGen entered into a license agreement (the “Telitacicept License Agreement”) granting the Company exclusive rights to develop and commercialize RemeGen’s proprietary fusion protein compound, telitacicept (the “Licensed Compound”), outside of the People’s Republic of China, Hong Kong, Macau and Taiwan (collectively, “Greater China”). RemeGen retains all rights to the Licensed Compound in Greater China. Under the Telitacicept License Agreement, the Company received an exclusive (even as to RemeGen) license under RemeGen’s patents and know -how to exploit, develop and commercialize the Licensed Compound in all territories other than Greater China, with the right to grant sublicenses. The Company also received a non-exclusive license to manufacture the Licensed Compound and any resulting licensed products (“Licensed Products”) worldwide solely for use in the licensed territory. The Company is responsible for all development, regulatory and commercialization activities and costs in the licensed territory, including the conduct of clinical trials and regulatory submissions. The Telitacicept License Agreement established a joint steering committee (“JSC”) to oversee the ongoing development and commercialization of telitacicept. The JSC comprises an equal number of senior-level executives from each party; however, final decision-making authority as it relates to the development and commercialization of the Licensed Compound outside Greater China lies with the Company.</w:t>
      </w:r>
    </w:p>
    <w:p>
      <w:pPr>
        <w:spacing w:after="0" w:line="9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consideration for the rights granted, the Company agreed to make an upfront cash payment in the amount of $45.0 million and issued the RemeGen Warrant to a subsidiary of RemeGen, which was initially valued at $ 177.4 million. Refer to Note 7 for details on the terms of the RemeGen Warrant. The $45.0 million cash payment due to RemeGen was paid during the quarter ended September 30, 2025. The Company incurred $0.2 million in transaction costs related to the Telitacicept License Agreement during the year ended December 31, 2025.</w:t>
      </w:r>
    </w:p>
    <w:p>
      <w:pPr>
        <w:spacing w:after="0" w:line="7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accounted for the Telitacicept License Agreement as an asset acquisition as substantially all of the value received was concentrated in the Licensed Compound which does not have an alternate future use as it is not yet approved for commercial sale in the licensed territory. Accordingly, the Company recognized a $222.6 million charge to research and development expense on the consolidated statement of operations and comprehensive loss during the year ended December 31, 2025 associated with this asset acquisition. The Company’s accounting policy is to classify the cost of asset acquisitions as an operating cash outflow on the consolidated statement of cash flows.</w:t>
      </w:r>
    </w:p>
    <w:p>
      <w:pPr>
        <w:spacing w:after="0" w:line="7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Pursuant to the terms of the Telitacicept License Agreement, RemeGen is eligible to receive up to $330.0 million in regulatory milestone payments and up to $3.775 billion in sales milestone payments. In addition, RemeGen is entitled to receive tiered royalties on net sales of the Licensed Products in the licensed territory, ranging from high single digit to mid-teen percentages of net sales, subject to customary reductions. If the Company enters into a sublicense or divests rights to the Licensed Products prior to a specified development event and other than in connection with a change of control, RemeGen is entitled to receive a single digit percentage of certain net proceeds from such transactions. The Telitacicept License Agreement also provides for technology transfer, mutual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2240" w:h="15840" w:orient="portrait"/>
          <w:cols w:equalWidth="0" w:num="1">
            <w:col w:w="9360"/>
          </w:cols>
          <w:pgMar w:left="1440" w:top="1420" w:right="1440" w:bottom="175" w:gutter="0" w:footer="0" w:header="0"/>
        </w:sectPr>
      </w:pPr>
    </w:p>
    <w:bookmarkStart w:id="126" w:name="page127"/>
    <w:bookmarkEnd w:id="126"/>
    <w:p>
      <w:pPr>
        <w:ind w:right="80"/>
        <w:spacing w:after="0" w:line="277" w:lineRule="auto"/>
        <w:rPr>
          <w:sz w:val="20"/>
          <w:szCs w:val="20"/>
          <w:color w:val="auto"/>
        </w:rPr>
      </w:pPr>
      <w:r>
        <w:rPr>
          <w:rFonts w:ascii="Times New Roman" w:cs="Times New Roman" w:eastAsia="Times New Roman" w:hAnsi="Times New Roman"/>
          <w:sz w:val="20"/>
          <w:szCs w:val="20"/>
          <w:color w:val="auto"/>
        </w:rPr>
        <w:t>indemnification and confidentiality. As of December 31, 2025, no milestone or royalty payments have been accrued for as the consideration is not yet payable per the terms of the Agreement.</w:t>
      </w:r>
    </w:p>
    <w:p>
      <w:pPr>
        <w:spacing w:after="0" w:line="49"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The Telitacicept License Agreement may be terminated, in its entirety or on a region-by-region basis, by either party for material breach (subject to cure periods and dispute resolution) or insolvency of the other party, by the Company for convenience with advance notice, or by RemeGen if the Company challenges the validity of licensed patents. Upon termination, all rights and licenses in the terminated region will revert to RemeGen, with a wind-down period for the Company to cease activities.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Intellectual Property</w:t>
      </w:r>
    </w:p>
    <w:p>
      <w:pPr>
        <w:spacing w:after="0" w:line="120" w:lineRule="exact"/>
        <w:rPr>
          <w:sz w:val="20"/>
          <w:szCs w:val="20"/>
          <w:color w:val="auto"/>
        </w:rPr>
      </w:pPr>
    </w:p>
    <w:p>
      <w:pPr>
        <w:ind w:right="260" w:firstLine="720"/>
        <w:spacing w:after="0" w:line="247" w:lineRule="auto"/>
        <w:rPr>
          <w:sz w:val="20"/>
          <w:szCs w:val="20"/>
          <w:color w:val="auto"/>
        </w:rPr>
      </w:pPr>
      <w:r>
        <w:rPr>
          <w:rFonts w:ascii="Times New Roman" w:cs="Times New Roman" w:eastAsia="Times New Roman" w:hAnsi="Times New Roman"/>
          <w:sz w:val="20"/>
          <w:szCs w:val="20"/>
          <w:color w:val="auto"/>
        </w:rPr>
        <w:t>On August 8, 2025, the Company entered into an Asset Purchase Agreement pursuant to which the Company agreed to sell certain intellectual property related to the antibody drug conjugate known as VADC45 to Regeneron Pharmaceuticals, Inc. for $3.0 million in cash consideration. Additionally, on September 22, 2025, the Company entered into an Asset Purchase Agreement pursuant to which the Company agreed to sell certain intellectual property related to the Company’s previous product candidates trem-cel and VCAR33 to SyzygyMed Inc. for $1.1 million in cash consideration.</w:t>
      </w:r>
    </w:p>
    <w:p>
      <w:pPr>
        <w:spacing w:after="0" w:line="200" w:lineRule="exact"/>
        <w:rPr>
          <w:sz w:val="20"/>
          <w:szCs w:val="20"/>
          <w:color w:val="auto"/>
        </w:rPr>
      </w:pPr>
    </w:p>
    <w:p>
      <w:pPr>
        <w:spacing w:after="0" w:line="225" w:lineRule="exact"/>
        <w:rPr>
          <w:sz w:val="20"/>
          <w:szCs w:val="20"/>
          <w:color w:val="auto"/>
        </w:rPr>
      </w:pPr>
    </w:p>
    <w:p>
      <w:pPr>
        <w:ind w:right="6220"/>
        <w:spacing w:after="0" w:line="367" w:lineRule="auto"/>
        <w:tabs>
          <w:tab w:leader="none" w:pos="3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Legal Proceedings</w:t>
      </w:r>
    </w:p>
    <w:p>
      <w:pPr>
        <w:spacing w:after="0" w:line="1" w:lineRule="exact"/>
        <w:rPr>
          <w:sz w:val="20"/>
          <w:szCs w:val="20"/>
          <w:color w:val="auto"/>
        </w:rPr>
      </w:pPr>
    </w:p>
    <w:p>
      <w:pPr>
        <w:ind w:right="440" w:firstLine="612"/>
        <w:spacing w:after="0" w:line="252" w:lineRule="auto"/>
        <w:rPr>
          <w:sz w:val="20"/>
          <w:szCs w:val="20"/>
          <w:color w:val="auto"/>
        </w:rPr>
      </w:pPr>
      <w:r>
        <w:rPr>
          <w:rFonts w:ascii="Times New Roman" w:cs="Times New Roman" w:eastAsia="Times New Roman" w:hAnsi="Times New Roman"/>
          <w:sz w:val="20"/>
          <w:szCs w:val="20"/>
          <w:color w:val="auto"/>
        </w:rPr>
        <w:t>The Company is not currently a party to any material legal proceedings. At each reporting date, the Company evaluates whether or not a potential loss amount or potential range of loss is probable and reasonably estimated under the provisions of the authoritative guidance that addresses accounting for contingencies. The Company recognizes expenses for its costs related to its legal proceedings, as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Defined Contribution Benefit Plan</w:t>
      </w:r>
    </w:p>
    <w:p>
      <w:pPr>
        <w:spacing w:after="0" w:line="24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Company maintains a defined contribution plan under Section 401(k) (the “401(k) Plan”) of the Internal Revenue Code, as amended (the “Code”). The 401(k) Plan covers all employees who meet defined minimum age and service requirements and allows participants to defer a portion of their annual compensation on a pretax basis, as well as Roth post tax deferrals. The Company matches 100% of compensation amounts deferred up to the first 1% of an employee's compensation plus 50% of compensation amounts deferred between 1% and 6% of an employee's compensation. All matching contributions are immediately vested. Expense recognized by the Company for matching contributions made in accordance with the 401(k) Plan was $1.0 million and $1.2 million for the years ended December 31, 2025 and December 31, 2024,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24" w:lineRule="exact"/>
        <w:rPr>
          <w:sz w:val="20"/>
          <w:szCs w:val="20"/>
          <w:color w:val="auto"/>
        </w:rPr>
      </w:pPr>
    </w:p>
    <w:p>
      <w:pPr>
        <w:ind w:right="100" w:firstLine="612"/>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2025 and 2024, the Company did not record a current or deferred income tax expense or benefit. The following table reconciles the federal statutory income tax rate to the Company’s effective income tax rate: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7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9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8"/>
        </w:trPr>
        <w:tc>
          <w:tcPr>
            <w:tcW w:w="627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400" w:type="dxa"/>
            <w:vAlign w:val="bottom"/>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6270" w:type="dxa"/>
            <w:vAlign w:val="bottom"/>
            <w:tcBorders>
              <w:top w:val="single" w:sz="8" w:color="CFF0FC"/>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Federal income tax rate</w:t>
            </w:r>
          </w:p>
        </w:tc>
        <w:tc>
          <w:tcPr>
            <w:tcW w:w="150" w:type="dxa"/>
            <w:vAlign w:val="bottom"/>
            <w:tcBorders>
              <w:top w:val="single" w:sz="8" w:color="CFF0FC"/>
              <w:right w:val="single" w:sz="8" w:color="CFF0FC"/>
            </w:tcBorders>
            <w:shd w:val="clear" w:color="auto" w:fill="CFF0FC"/>
          </w:tcPr>
          <w:p>
            <w:pPr>
              <w:spacing w:after="0"/>
              <w:rPr>
                <w:sz w:val="18"/>
                <w:szCs w:val="18"/>
                <w:color w:val="auto"/>
              </w:rPr>
            </w:pPr>
          </w:p>
        </w:tc>
        <w:tc>
          <w:tcPr>
            <w:tcW w:w="1400" w:type="dxa"/>
            <w:vAlign w:val="bottom"/>
            <w:tcBorders>
              <w:top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21.0 %</w:t>
            </w: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21.0 %</w:t>
            </w:r>
          </w:p>
        </w:tc>
      </w:tr>
      <w:tr>
        <w:trPr>
          <w:trHeight w:val="244"/>
        </w:trPr>
        <w:tc>
          <w:tcPr>
            <w:tcW w:w="627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State income tax benefit</w:t>
            </w:r>
          </w:p>
        </w:tc>
        <w:tc>
          <w:tcPr>
            <w:tcW w:w="150" w:type="dxa"/>
            <w:vAlign w:val="bottom"/>
            <w:tcBorders>
              <w:bottom w:val="single" w:sz="8" w:color="CFF0FC"/>
            </w:tcBorders>
          </w:tcPr>
          <w:p>
            <w:pPr>
              <w:spacing w:after="0"/>
              <w:rPr>
                <w:sz w:val="21"/>
                <w:szCs w:val="21"/>
                <w:color w:val="auto"/>
              </w:rPr>
            </w:pPr>
          </w:p>
        </w:tc>
        <w:tc>
          <w:tcPr>
            <w:tcW w:w="14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140" w:type="dxa"/>
            <w:vAlign w:val="bottom"/>
            <w:tcBorders>
              <w:bottom w:val="single" w:sz="8" w:color="CFF0FC"/>
            </w:tcBorders>
          </w:tcPr>
          <w:p>
            <w:pPr>
              <w:spacing w:after="0"/>
              <w:rPr>
                <w:sz w:val="21"/>
                <w:szCs w:val="21"/>
                <w:color w:val="auto"/>
              </w:rPr>
            </w:pPr>
          </w:p>
        </w:tc>
        <w:tc>
          <w:tcPr>
            <w:tcW w:w="14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5.6 %</w:t>
            </w:r>
          </w:p>
        </w:tc>
      </w:tr>
      <w:tr>
        <w:trPr>
          <w:trHeight w:val="224"/>
        </w:trPr>
        <w:tc>
          <w:tcPr>
            <w:tcW w:w="627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0"/>
                <w:szCs w:val="20"/>
                <w:color w:val="auto"/>
              </w:rPr>
              <w:t>Permanent items</w:t>
            </w:r>
          </w:p>
        </w:tc>
        <w:tc>
          <w:tcPr>
            <w:tcW w:w="150" w:type="dxa"/>
            <w:vAlign w:val="bottom"/>
            <w:tcBorders>
              <w:right w:val="single" w:sz="8" w:color="CFF0FC"/>
            </w:tcBorders>
            <w:shd w:val="clear" w:color="auto" w:fill="CFF0FC"/>
          </w:tcPr>
          <w:p>
            <w:pPr>
              <w:spacing w:after="0"/>
              <w:rPr>
                <w:sz w:val="19"/>
                <w:szCs w:val="19"/>
                <w:color w:val="auto"/>
              </w:rPr>
            </w:pPr>
          </w:p>
        </w:tc>
        <w:tc>
          <w:tcPr>
            <w:tcW w:w="14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(0.9) %</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(1.6) %</w:t>
            </w:r>
          </w:p>
        </w:tc>
      </w:tr>
      <w:tr>
        <w:trPr>
          <w:trHeight w:val="245"/>
        </w:trPr>
        <w:tc>
          <w:tcPr>
            <w:tcW w:w="627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Change in fair value of warrant liability</w:t>
            </w:r>
          </w:p>
        </w:tc>
        <w:tc>
          <w:tcPr>
            <w:tcW w:w="150" w:type="dxa"/>
            <w:vAlign w:val="bottom"/>
            <w:tcBorders>
              <w:bottom w:val="single" w:sz="8" w:color="CFF0FC"/>
            </w:tcBorders>
          </w:tcPr>
          <w:p>
            <w:pPr>
              <w:spacing w:after="0"/>
              <w:rPr>
                <w:sz w:val="21"/>
                <w:szCs w:val="21"/>
                <w:color w:val="auto"/>
              </w:rPr>
            </w:pPr>
          </w:p>
        </w:tc>
        <w:tc>
          <w:tcPr>
            <w:tcW w:w="14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(10.1) %</w:t>
            </w:r>
          </w:p>
        </w:tc>
        <w:tc>
          <w:tcPr>
            <w:tcW w:w="140" w:type="dxa"/>
            <w:vAlign w:val="bottom"/>
            <w:tcBorders>
              <w:bottom w:val="single" w:sz="8" w:color="CFF0FC"/>
            </w:tcBorders>
          </w:tcPr>
          <w:p>
            <w:pPr>
              <w:spacing w:after="0"/>
              <w:rPr>
                <w:sz w:val="21"/>
                <w:szCs w:val="21"/>
                <w:color w:val="auto"/>
              </w:rPr>
            </w:pPr>
          </w:p>
        </w:tc>
        <w:tc>
          <w:tcPr>
            <w:tcW w:w="14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627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0"/>
                <w:szCs w:val="20"/>
                <w:color w:val="auto"/>
              </w:rPr>
              <w:t>Research and development tax credits</w:t>
            </w:r>
          </w:p>
        </w:tc>
        <w:tc>
          <w:tcPr>
            <w:tcW w:w="150" w:type="dxa"/>
            <w:vAlign w:val="bottom"/>
            <w:tcBorders>
              <w:right w:val="single" w:sz="8" w:color="CFF0FC"/>
            </w:tcBorders>
            <w:shd w:val="clear" w:color="auto" w:fill="CFF0FC"/>
          </w:tcPr>
          <w:p>
            <w:pPr>
              <w:spacing w:after="0"/>
              <w:rPr>
                <w:sz w:val="19"/>
                <w:szCs w:val="19"/>
                <w:color w:val="auto"/>
              </w:rPr>
            </w:pPr>
          </w:p>
        </w:tc>
        <w:tc>
          <w:tcPr>
            <w:tcW w:w="14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0.4 %</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4.8 %</w:t>
            </w:r>
          </w:p>
        </w:tc>
      </w:tr>
      <w:tr>
        <w:trPr>
          <w:trHeight w:val="270"/>
        </w:trPr>
        <w:tc>
          <w:tcPr>
            <w:tcW w:w="627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50" w:type="dxa"/>
            <w:vAlign w:val="bottom"/>
            <w:tcBorders>
              <w:bottom w:val="single" w:sz="8" w:color="CFF0FC"/>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 %</w:t>
            </w:r>
          </w:p>
        </w:tc>
        <w:tc>
          <w:tcPr>
            <w:tcW w:w="140" w:type="dxa"/>
            <w:vAlign w:val="bottom"/>
            <w:tcBorders>
              <w:bottom w:val="single" w:sz="8" w:color="CFF0FC"/>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 %</w:t>
            </w:r>
          </w:p>
        </w:tc>
      </w:tr>
      <w:tr>
        <w:trPr>
          <w:trHeight w:val="214"/>
        </w:trPr>
        <w:tc>
          <w:tcPr>
            <w:tcW w:w="6270" w:type="dxa"/>
            <w:vAlign w:val="bottom"/>
            <w:tcBorders>
              <w:top w:val="single" w:sz="8" w:color="CFF0FC"/>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Effective income tax rate</w:t>
            </w:r>
          </w:p>
        </w:tc>
        <w:tc>
          <w:tcPr>
            <w:tcW w:w="150" w:type="dxa"/>
            <w:vAlign w:val="bottom"/>
            <w:tcBorders>
              <w:top w:val="single" w:sz="8" w:color="CFF0FC"/>
              <w:right w:val="single" w:sz="8" w:color="CFF0FC"/>
            </w:tcBorders>
            <w:shd w:val="clear" w:color="auto" w:fill="CFF0FC"/>
          </w:tcPr>
          <w:p>
            <w:pPr>
              <w:spacing w:after="0"/>
              <w:rPr>
                <w:sz w:val="18"/>
                <w:szCs w:val="18"/>
                <w:color w:val="auto"/>
              </w:rPr>
            </w:pPr>
          </w:p>
        </w:tc>
        <w:tc>
          <w:tcPr>
            <w:tcW w:w="1400" w:type="dxa"/>
            <w:vAlign w:val="bottom"/>
            <w:tcBorders>
              <w:top w:val="single" w:sz="8" w:color="CFF0FC"/>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27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-1251585</wp:posOffset>
            </wp:positionV>
            <wp:extent cx="5943600" cy="12357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8">
                      <a:extLst>
                        <a:ext uri="{28A0092B-C50C-407E-A947-70E740481C1C}"/>
                      </a:extLst>
                    </a:blip>
                    <a:srcRect/>
                    <a:stretch>
                      <a:fillRect/>
                    </a:stretch>
                  </pic:blipFill>
                  <pic:spPr bwMode="auto">
                    <a:xfrm>
                      <a:off x="0" y="0"/>
                      <a:ext cx="5943600" cy="1235710"/>
                    </a:xfrm>
                    <a:prstGeom prst="rect">
                      <a:avLst/>
                    </a:prstGeom>
                    <a:noFill/>
                  </pic:spPr>
                </pic:pic>
              </a:graphicData>
            </a:graphic>
          </wp:anchor>
        </w:drawing>
      </w:r>
    </w:p>
    <w:p>
      <w:pPr>
        <w:spacing w:after="0" w:line="79"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0"/>
          <w:szCs w:val="20"/>
          <w:color w:val="auto"/>
        </w:rPr>
        <w:t>Deferred tax assets and liabilities reflect the net tax effects of net operating loss and tax credit carryforwards and temporary differences between the carrying amount of assets and liabilities for financial reporting and the amounts used for tax purposes.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F-22</w:t>
      </w:r>
    </w:p>
    <w:p>
      <w:pPr>
        <w:sectPr>
          <w:pgSz w:w="12240" w:h="15840" w:orient="portrait"/>
          <w:cols w:equalWidth="0" w:num="1">
            <w:col w:w="9360"/>
          </w:cols>
          <w:pgMar w:left="1440" w:top="1420" w:right="1440" w:bottom="175" w:gutter="0" w:footer="0" w:header="0"/>
        </w:sectPr>
      </w:pPr>
    </w:p>
    <w:bookmarkStart w:id="127" w:name="page128"/>
    <w:bookmarkEnd w:id="127"/>
    <w:p>
      <w:pPr>
        <w:ind w:left="620"/>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20" w:type="dxa"/>
            <w:vAlign w:val="bottom"/>
            <w:tcBorders>
              <w:bottom w:val="single" w:sz="8" w:color="CFF0FC"/>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90" w:type="dxa"/>
            <w:vAlign w:val="bottom"/>
            <w:tcBorders>
              <w:bottom w:val="single" w:sz="8" w:color="CFF0FC"/>
            </w:tcBorders>
          </w:tcPr>
          <w:p>
            <w:pPr>
              <w:spacing w:after="0"/>
              <w:rPr>
                <w:sz w:val="16"/>
                <w:szCs w:val="16"/>
                <w:color w:val="auto"/>
              </w:rPr>
            </w:pPr>
          </w:p>
        </w:tc>
        <w:tc>
          <w:tcPr>
            <w:tcW w:w="13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90" w:type="dxa"/>
            <w:vAlign w:val="bottom"/>
            <w:shd w:val="clear" w:color="auto" w:fill="CFF0FC"/>
          </w:tcPr>
          <w:p>
            <w:pPr>
              <w:spacing w:after="0"/>
              <w:rPr>
                <w:sz w:val="20"/>
                <w:szCs w:val="20"/>
                <w:color w:val="auto"/>
              </w:rPr>
            </w:pPr>
          </w:p>
        </w:tc>
        <w:tc>
          <w:tcPr>
            <w:tcW w:w="13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Federal net operating loss carryforwards</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86,456</w:t>
            </w:r>
          </w:p>
        </w:tc>
        <w:tc>
          <w:tcPr>
            <w:tcW w:w="90" w:type="dxa"/>
            <w:vAlign w:val="bottom"/>
            <w:shd w:val="clear" w:color="auto" w:fill="CFF0FC"/>
          </w:tcPr>
          <w:p>
            <w:pPr>
              <w:spacing w:after="0"/>
              <w:rPr>
                <w:sz w:val="21"/>
                <w:szCs w:val="21"/>
                <w:color w:val="auto"/>
              </w:rPr>
            </w:pPr>
          </w:p>
        </w:tc>
        <w:tc>
          <w:tcPr>
            <w:tcW w:w="1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51,217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net operating loss carryforwards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24,592</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Tax credits</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25,575</w:t>
            </w:r>
          </w:p>
        </w:tc>
        <w:tc>
          <w:tcPr>
            <w:tcW w:w="90" w:type="dxa"/>
            <w:vAlign w:val="bottom"/>
            <w:shd w:val="clear" w:color="auto" w:fill="CFF0FC"/>
          </w:tcPr>
          <w:p>
            <w:pPr>
              <w:spacing w:after="0"/>
              <w:rPr>
                <w:sz w:val="21"/>
                <w:szCs w:val="21"/>
                <w:color w:val="auto"/>
              </w:rPr>
            </w:pPr>
          </w:p>
        </w:tc>
        <w:tc>
          <w:tcPr>
            <w:tcW w:w="1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22,725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R&amp;D capitalization</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36,768</w:t>
            </w:r>
          </w:p>
        </w:tc>
        <w:tc>
          <w:tcPr>
            <w:tcW w:w="90" w:type="dxa"/>
            <w:vAlign w:val="bottom"/>
            <w:shd w:val="clear" w:color="auto" w:fill="CFF0FC"/>
          </w:tcPr>
          <w:p>
            <w:pPr>
              <w:spacing w:after="0"/>
              <w:rPr>
                <w:sz w:val="21"/>
                <w:szCs w:val="21"/>
                <w:color w:val="auto"/>
              </w:rPr>
            </w:pPr>
          </w:p>
        </w:tc>
        <w:tc>
          <w:tcPr>
            <w:tcW w:w="1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46,973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57,641</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Lease liability</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90" w:type="dxa"/>
            <w:vAlign w:val="bottom"/>
            <w:shd w:val="clear" w:color="auto" w:fill="CFF0FC"/>
          </w:tcPr>
          <w:p>
            <w:pPr>
              <w:spacing w:after="0"/>
              <w:rPr>
                <w:sz w:val="21"/>
                <w:szCs w:val="21"/>
                <w:color w:val="auto"/>
              </w:rPr>
            </w:pPr>
          </w:p>
        </w:tc>
        <w:tc>
          <w:tcPr>
            <w:tcW w:w="1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8,634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233,601</w:t>
            </w:r>
          </w:p>
        </w:tc>
        <w:tc>
          <w:tcPr>
            <w:tcW w:w="9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Valuation allowance</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(232,721</w:t>
            </w:r>
          </w:p>
        </w:tc>
        <w:tc>
          <w:tcPr>
            <w:tcW w:w="9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(139,216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74"/>
        </w:trPr>
        <w:tc>
          <w:tcPr>
            <w:tcW w:w="6420" w:type="dxa"/>
            <w:vAlign w:val="bottom"/>
            <w:tcBorders>
              <w:bottom w:val="single" w:sz="8" w:color="CFF0FC"/>
            </w:tcBorders>
            <w:gridSpan w:val="3"/>
          </w:tcPr>
          <w:p>
            <w:pPr>
              <w:ind w:left="400"/>
              <w:spacing w:after="0"/>
              <w:rPr>
                <w:sz w:val="20"/>
                <w:szCs w:val="20"/>
                <w:color w:val="auto"/>
              </w:rPr>
            </w:pPr>
            <w:r>
              <w:rPr>
                <w:rFonts w:ascii="Times New Roman" w:cs="Times New Roman" w:eastAsia="Times New Roman" w:hAnsi="Times New Roman"/>
                <w:sz w:val="20"/>
                <w:szCs w:val="20"/>
                <w:color w:val="auto"/>
              </w:rPr>
              <w:t>Net total deferred tax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90" w:type="dxa"/>
            <w:vAlign w:val="bottom"/>
            <w:tcBorders>
              <w:bottom w:val="single" w:sz="8" w:color="CFF0FC"/>
            </w:tcBorders>
          </w:tcPr>
          <w:p>
            <w:pPr>
              <w:spacing w:after="0"/>
              <w:rPr>
                <w:sz w:val="23"/>
                <w:szCs w:val="23"/>
                <w:color w:val="auto"/>
              </w:rPr>
            </w:pPr>
          </w:p>
        </w:tc>
        <w:tc>
          <w:tcPr>
            <w:tcW w:w="13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10,127</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260" w:type="dxa"/>
            <w:vAlign w:val="bottom"/>
            <w:shd w:val="clear" w:color="auto" w:fill="CFF0FC"/>
          </w:tcPr>
          <w:p>
            <w:pPr>
              <w:spacing w:after="0" w:line="228" w:lineRule="exact"/>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0" w:type="dxa"/>
            <w:vAlign w:val="bottom"/>
            <w:shd w:val="clear" w:color="auto" w:fill="CFF0FC"/>
          </w:tcPr>
          <w:p>
            <w:pPr>
              <w:spacing w:after="0"/>
              <w:rPr>
                <w:sz w:val="19"/>
                <w:szCs w:val="19"/>
                <w:color w:val="auto"/>
              </w:rPr>
            </w:pPr>
          </w:p>
        </w:tc>
        <w:tc>
          <w:tcPr>
            <w:tcW w:w="13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right of use asset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w:t>
            </w:r>
          </w:p>
        </w:tc>
        <w:tc>
          <w:tcPr>
            <w:tcW w:w="9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244"/>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9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0" w:type="dxa"/>
            <w:vAlign w:val="bottom"/>
          </w:tcPr>
          <w:p>
            <w:pPr>
              <w:spacing w:after="0"/>
              <w:rPr>
                <w:sz w:val="1"/>
                <w:szCs w:val="1"/>
                <w:color w:val="auto"/>
              </w:rPr>
            </w:pPr>
          </w:p>
        </w:tc>
      </w:tr>
      <w:tr>
        <w:trPr>
          <w:trHeight w:val="274"/>
        </w:trPr>
        <w:tc>
          <w:tcPr>
            <w:tcW w:w="6420" w:type="dxa"/>
            <w:vAlign w:val="bottom"/>
            <w:tcBorders>
              <w:bottom w:val="single" w:sz="8" w:color="CFF0FC"/>
            </w:tcBorders>
            <w:gridSpan w:val="3"/>
          </w:tcPr>
          <w:p>
            <w:pPr>
              <w:ind w:left="40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9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(10,127</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 w:type="dxa"/>
            <w:vAlign w:val="bottom"/>
            <w:shd w:val="clear" w:color="auto" w:fill="CFF0FC"/>
          </w:tcPr>
          <w:p>
            <w:pPr>
              <w:spacing w:after="0"/>
              <w:rPr>
                <w:sz w:val="19"/>
                <w:szCs w:val="19"/>
                <w:color w:val="auto"/>
              </w:rPr>
            </w:pPr>
          </w:p>
        </w:tc>
        <w:tc>
          <w:tcPr>
            <w:tcW w:w="13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-2578100</wp:posOffset>
                </wp:positionV>
                <wp:extent cx="59436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3pt" to="468pt,-203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-1648460</wp:posOffset>
                </wp:positionV>
                <wp:extent cx="59436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7999pt" to="468pt,-129.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-677545</wp:posOffset>
                </wp:positionV>
                <wp:extent cx="59436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3499pt" to="468pt,-53.3499pt" o:allowincell="f" strokecolor="#FFFFFF" strokeweight="0.72pt"/>
            </w:pict>
          </mc:Fallback>
        </mc:AlternateContent>
      </w:r>
    </w:p>
    <w:p>
      <w:pPr>
        <w:spacing w:after="0" w:line="201" w:lineRule="exact"/>
        <w:rPr>
          <w:sz w:val="20"/>
          <w:szCs w:val="20"/>
          <w:color w:val="auto"/>
        </w:rPr>
      </w:pPr>
    </w:p>
    <w:p>
      <w:pPr>
        <w:ind w:right="60" w:firstLine="612"/>
        <w:spacing w:after="0" w:line="244" w:lineRule="auto"/>
        <w:rPr>
          <w:sz w:val="20"/>
          <w:szCs w:val="20"/>
          <w:color w:val="auto"/>
        </w:rPr>
      </w:pPr>
      <w:r>
        <w:rPr>
          <w:rFonts w:ascii="Times New Roman" w:cs="Times New Roman" w:eastAsia="Times New Roman" w:hAnsi="Times New Roman"/>
          <w:sz w:val="20"/>
          <w:szCs w:val="20"/>
          <w:color w:val="auto"/>
        </w:rPr>
        <w:t>The Company has weighed the positive and negative evidence to assess the recoverability of its deferred tax assets. Realization of future tax benefits is dependent on many factors, including the Company’s ability to generate taxable income. After this assessment, the Company determined it was more likely than not that the Company will not realize the benefit of its deferred tax assets, net of deferred tax liabilities. As a result, the Company has provided a full valuation allowance against its net deferred tax assets. The valuation allowance for deferred tax assets as of December 31, 2025 and 2024 was $232.7 million and $139.2 million, respectively. For the years ended December 31, 2025 and 2024, the Company recorded an increase in the valuation allowance of $93.5 million and $34.8 million, respectively, primarily related to net operating losses incurred by the Company and an increase in amortization in the year ended December 31, 2025.</w:t>
      </w:r>
    </w:p>
    <w:p>
      <w:pPr>
        <w:spacing w:after="0" w:line="86" w:lineRule="exact"/>
        <w:rPr>
          <w:sz w:val="20"/>
          <w:szCs w:val="20"/>
          <w:color w:val="auto"/>
        </w:rPr>
      </w:pPr>
    </w:p>
    <w:p>
      <w:pPr>
        <w:ind w:right="140" w:firstLine="612"/>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gross U.S. federal net operating loss carryforwards of $411.7 million including $409.8 million that had an indefinite carryforward period and $1.9 million that were subject to expiration at various dates through 2037. As of December 31, 2025, the Company had state net operating loss carryforwards of $389.4 million which will expire at various dates through 2045. As of December 31, 2025, the Company had U.S. federal research and development tax credit carryforwards of $19.2 million which will expire at various dates through 2045 and state research and credit carryforwards of $ 8.0 million which will expire at various dates through 2040. The net operating loss and tax credit carryforwards are subject to review and possible adjustment by the Internal Revenue Service and state tax authorities.</w:t>
      </w:r>
    </w:p>
    <w:p>
      <w:pPr>
        <w:spacing w:after="0" w:line="81"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20"/>
          <w:szCs w:val="20"/>
          <w:color w:val="auto"/>
        </w:rPr>
        <w:t>Net operating loss and tax credit carryforwards may become subject to an annual limitation in the event of certain cumulative changes in the ownership interest of significant shareholders over a three-year period in excess of 50%, as defined under Sections 382 and 383 of the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determined whether an ownership change has occurred and as such, the Company’s net operating losses may be limited. Any limitation may result in expiration of a portion of the net operating loss carryforwards or research development credit carryforwards before utilization.</w:t>
      </w:r>
    </w:p>
    <w:p>
      <w:pPr>
        <w:spacing w:after="0" w:line="86" w:lineRule="exact"/>
        <w:rPr>
          <w:sz w:val="20"/>
          <w:szCs w:val="20"/>
          <w:color w:val="auto"/>
        </w:rPr>
      </w:pPr>
    </w:p>
    <w:p>
      <w:pPr>
        <w:ind w:right="220" w:firstLine="612"/>
        <w:spacing w:after="0" w:line="252" w:lineRule="auto"/>
        <w:rPr>
          <w:sz w:val="20"/>
          <w:szCs w:val="20"/>
          <w:color w:val="auto"/>
        </w:rPr>
      </w:pPr>
      <w:r>
        <w:rPr>
          <w:rFonts w:ascii="Times New Roman" w:cs="Times New Roman" w:eastAsia="Times New Roman" w:hAnsi="Times New Roman"/>
          <w:sz w:val="20"/>
          <w:szCs w:val="20"/>
          <w:color w:val="auto"/>
        </w:rPr>
        <w:t>The Company has not, as yet, conducted a study of research and development credit carryforwards. Such a study, once undertaken by the Company, may result in an adjustment to the research and development credit carryforwards. However, a full valuation allowance has been provided against the Company’s research and development credits and, if any adjustment is required, such adjustment would be offset by an adjustment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9360"/>
          </w:cols>
          <w:pgMar w:left="1440" w:top="1420" w:right="1440" w:bottom="175" w:gutter="0" w:footer="0" w:header="0"/>
        </w:sectPr>
      </w:pPr>
    </w:p>
    <w:bookmarkStart w:id="128" w:name="page129"/>
    <w:bookmarkEnd w:id="128"/>
    <w:p>
      <w:pPr>
        <w:ind w:right="860"/>
        <w:spacing w:after="0" w:line="278" w:lineRule="auto"/>
        <w:rPr>
          <w:sz w:val="20"/>
          <w:szCs w:val="20"/>
          <w:color w:val="auto"/>
        </w:rPr>
      </w:pPr>
      <w:r>
        <w:rPr>
          <w:rFonts w:ascii="Times New Roman" w:cs="Times New Roman" w:eastAsia="Times New Roman" w:hAnsi="Times New Roman"/>
          <w:sz w:val="20"/>
          <w:szCs w:val="20"/>
          <w:color w:val="auto"/>
        </w:rPr>
        <w:t>valuation allowance. Thus, there would be no impact to the balance sheet or statement of operations if any adjustment is required.</w:t>
      </w:r>
    </w:p>
    <w:p>
      <w:pPr>
        <w:spacing w:after="0" w:line="47" w:lineRule="exact"/>
        <w:rPr>
          <w:sz w:val="20"/>
          <w:szCs w:val="20"/>
          <w:color w:val="auto"/>
        </w:rPr>
      </w:pPr>
    </w:p>
    <w:p>
      <w:pPr>
        <w:ind w:right="260" w:firstLine="612"/>
        <w:spacing w:after="0" w:line="252" w:lineRule="auto"/>
        <w:rPr>
          <w:sz w:val="20"/>
          <w:szCs w:val="20"/>
          <w:color w:val="auto"/>
        </w:rPr>
      </w:pPr>
      <w:r>
        <w:rPr>
          <w:rFonts w:ascii="Times New Roman" w:cs="Times New Roman" w:eastAsia="Times New Roman" w:hAnsi="Times New Roman"/>
          <w:sz w:val="20"/>
          <w:szCs w:val="20"/>
          <w:color w:val="auto"/>
        </w:rPr>
        <w:t>As of December 31, 2025 and 2024, the Company did not have any unrecognized tax benefits. Any future interest and penalties related to income tax matters would be recognized in the provision for income tax. As of December 31, 2025 and 2024, the Company did not have a balance of accrued interest and penalties related to uncertain tax positions.</w:t>
      </w:r>
    </w:p>
    <w:p>
      <w:pPr>
        <w:spacing w:after="0" w:line="74" w:lineRule="exact"/>
        <w:rPr>
          <w:sz w:val="20"/>
          <w:szCs w:val="20"/>
          <w:color w:val="auto"/>
        </w:rPr>
      </w:pPr>
    </w:p>
    <w:p>
      <w:pPr>
        <w:ind w:right="380" w:firstLine="612"/>
        <w:spacing w:after="0" w:line="278" w:lineRule="auto"/>
        <w:rPr>
          <w:sz w:val="20"/>
          <w:szCs w:val="20"/>
          <w:color w:val="auto"/>
        </w:rPr>
      </w:pPr>
      <w:r>
        <w:rPr>
          <w:rFonts w:ascii="Times New Roman" w:cs="Times New Roman" w:eastAsia="Times New Roman" w:hAnsi="Times New Roman"/>
          <w:sz w:val="20"/>
          <w:szCs w:val="20"/>
          <w:color w:val="auto"/>
        </w:rPr>
        <w:t>The Company files income tax returns in the United States and various states. As of December 31, 2025, there were no income tax examinations in progress.</w:t>
      </w:r>
    </w:p>
    <w:p>
      <w:pPr>
        <w:spacing w:after="0" w:line="47" w:lineRule="exact"/>
        <w:rPr>
          <w:sz w:val="20"/>
          <w:szCs w:val="20"/>
          <w:color w:val="auto"/>
        </w:rPr>
      </w:pPr>
    </w:p>
    <w:p>
      <w:pPr>
        <w:ind w:right="180" w:firstLine="612"/>
        <w:spacing w:after="0" w:line="249" w:lineRule="auto"/>
        <w:rPr>
          <w:sz w:val="20"/>
          <w:szCs w:val="20"/>
          <w:color w:val="auto"/>
        </w:rPr>
      </w:pPr>
      <w:r>
        <w:rPr>
          <w:rFonts w:ascii="Times New Roman" w:cs="Times New Roman" w:eastAsia="Times New Roman" w:hAnsi="Times New Roman"/>
          <w:sz w:val="20"/>
          <w:szCs w:val="20"/>
          <w:color w:val="auto"/>
        </w:rPr>
        <w:t>The tax years 2022 through present remain open to examination by major taxing jurisdictions to which the Company is subject, which are primarily in the United States. In addition, tax years prior to 2016 resulted in losses and the Company also generated research and development tax credits during those years. Since carryforward attributes generated in these years may be utilized in future years, years prior to 2022 may still be adjusted upon examination by the Internal Revenue Service or state tax authorities if they have or will be used in a future period.</w:t>
      </w:r>
    </w:p>
    <w:p>
      <w:pPr>
        <w:spacing w:after="0" w:line="7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most notably Section 174 capitalization of domestic research and development costs. The legislation has multiple effective dates, with certain provisions effective in 2025 and others implemented through 2027. There was not a significant impact on the Company's tax expense or effective tax rate for year ended December 31, 2025 associated with the OBBBA.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Net Loss Per Share</w:t>
      </w:r>
    </w:p>
    <w:p>
      <w:pPr>
        <w:spacing w:after="0" w:line="123" w:lineRule="exact"/>
        <w:rPr>
          <w:sz w:val="20"/>
          <w:szCs w:val="20"/>
          <w:color w:val="auto"/>
        </w:rPr>
      </w:pPr>
    </w:p>
    <w:p>
      <w:pPr>
        <w:ind w:right="140" w:firstLine="612"/>
        <w:spacing w:after="0" w:line="278" w:lineRule="auto"/>
        <w:rPr>
          <w:sz w:val="20"/>
          <w:szCs w:val="20"/>
          <w:color w:val="auto"/>
        </w:rPr>
      </w:pPr>
      <w:r>
        <w:rPr>
          <w:rFonts w:ascii="Times New Roman" w:cs="Times New Roman" w:eastAsia="Times New Roman" w:hAnsi="Times New Roman"/>
          <w:sz w:val="20"/>
          <w:szCs w:val="20"/>
          <w:color w:val="auto"/>
        </w:rPr>
        <w:t>The following table sets forth the computation of the Company’s basic and diluted net loss per share for the years ended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67"/>
        </w:trPr>
        <w:tc>
          <w:tcPr>
            <w:tcW w:w="6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3"/>
        </w:trPr>
        <w:tc>
          <w:tcPr>
            <w:tcW w:w="64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23"/>
                <w:szCs w:val="23"/>
                <w:color w:val="auto"/>
              </w:rPr>
            </w:pPr>
          </w:p>
        </w:tc>
      </w:tr>
      <w:tr>
        <w:trPr>
          <w:trHeight w:val="234"/>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Numerator:</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74"/>
        </w:trPr>
        <w:tc>
          <w:tcPr>
            <w:tcW w:w="642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(695,981</w:t>
            </w:r>
          </w:p>
        </w:tc>
        <w:tc>
          <w:tcPr>
            <w:tcW w:w="220" w:type="dxa"/>
            <w:vAlign w:val="bottom"/>
            <w:tcBorders>
              <w:bottom w:val="single" w:sz="8" w:color="CFF0FC"/>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(116,914</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6260" w:type="dxa"/>
            <w:vAlign w:val="bottom"/>
            <w:shd w:val="clear" w:color="auto" w:fill="CFF0FC"/>
          </w:tcPr>
          <w:p>
            <w:pPr>
              <w:spacing w:after="0" w:line="228" w:lineRule="exact"/>
              <w:rPr>
                <w:sz w:val="20"/>
                <w:szCs w:val="20"/>
                <w:color w:val="auto"/>
              </w:rPr>
            </w:pPr>
            <w:r>
              <w:rPr>
                <w:rFonts w:ascii="Times New Roman" w:cs="Times New Roman" w:eastAsia="Times New Roman" w:hAnsi="Times New Roman"/>
                <w:sz w:val="20"/>
                <w:szCs w:val="20"/>
                <w:color w:val="auto"/>
              </w:rPr>
              <w:t>Denominator:</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642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20"/>
                <w:szCs w:val="20"/>
                <w:color w:val="auto"/>
              </w:rPr>
              <w:t>Weighted-average number of common shares outstanding, basic and</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0"/>
        </w:trPr>
        <w:tc>
          <w:tcPr>
            <w:tcW w:w="642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9,871,866</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3,435,533</w:t>
            </w:r>
          </w:p>
        </w:tc>
        <w:tc>
          <w:tcPr>
            <w:tcW w:w="80" w:type="dxa"/>
            <w:vAlign w:val="bottom"/>
            <w:tcBorders>
              <w:bottom w:val="single" w:sz="8" w:color="CFF0FC"/>
            </w:tcBorders>
          </w:tcPr>
          <w:p>
            <w:pPr>
              <w:spacing w:after="0"/>
              <w:rPr>
                <w:sz w:val="24"/>
                <w:szCs w:val="24"/>
                <w:color w:val="auto"/>
              </w:rPr>
            </w:pPr>
          </w:p>
        </w:tc>
      </w:tr>
      <w:tr>
        <w:trPr>
          <w:trHeight w:val="230"/>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1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(70.50</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(34.03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Company’s potentially dilutive securities were stock options, unvested restricted stock, restricted stock units, and warrants. Based on the amounts outstanding at December 31, 2025 and 2024, the Company excluded the following potential common shares from the computation of diluted net loss per share because including them would have had an anti-dilutive effect:</w:t>
      </w:r>
    </w:p>
    <w:tbl>
      <w:tblPr>
        <w:tblLayout w:type="fixed"/>
        <w:tblInd w:w="0" w:type="dxa"/>
        <w:tblCellMar>
          <w:top w:w="0" w:type="dxa"/>
          <w:left w:w="0" w:type="dxa"/>
          <w:bottom w:w="0" w:type="dxa"/>
          <w:right w:w="0" w:type="dxa"/>
        </w:tblCellMar>
      </w:tblPr>
      <w:tr>
        <w:trPr>
          <w:trHeight w:val="183"/>
        </w:trPr>
        <w:tc>
          <w:tcPr>
            <w:tcW w:w="6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Pr>
          <w:p>
            <w:pPr>
              <w:spacing w:after="0"/>
              <w:rPr>
                <w:sz w:val="15"/>
                <w:szCs w:val="15"/>
                <w:color w:val="auto"/>
              </w:rPr>
            </w:pPr>
          </w:p>
        </w:tc>
      </w:tr>
      <w:tr>
        <w:trPr>
          <w:trHeight w:val="293"/>
        </w:trPr>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r>
      <w:tr>
        <w:trPr>
          <w:trHeight w:val="213"/>
        </w:trPr>
        <w:tc>
          <w:tcPr>
            <w:tcW w:w="6260" w:type="dxa"/>
            <w:vAlign w:val="bottom"/>
            <w:tcBorders>
              <w:top w:val="single" w:sz="8" w:color="CFF0FC"/>
            </w:tcBorders>
            <w:shd w:val="clear" w:color="auto" w:fill="CFF0FC"/>
          </w:tcPr>
          <w:p>
            <w:pPr>
              <w:spacing w:after="0" w:line="213" w:lineRule="exact"/>
              <w:rPr>
                <w:sz w:val="20"/>
                <w:szCs w:val="20"/>
                <w:color w:val="auto"/>
              </w:rPr>
            </w:pPr>
            <w:r>
              <w:rPr>
                <w:rFonts w:ascii="Times New Roman" w:cs="Times New Roman" w:eastAsia="Times New Roman" w:hAnsi="Times New Roman"/>
                <w:sz w:val="20"/>
                <w:szCs w:val="20"/>
                <w:color w:val="auto"/>
              </w:rPr>
              <w:t>Options to purchase common stock</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6,608,266</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line="213" w:lineRule="exact"/>
              <w:rPr>
                <w:sz w:val="20"/>
                <w:szCs w:val="20"/>
                <w:color w:val="auto"/>
              </w:rPr>
            </w:pPr>
            <w:r>
              <w:rPr>
                <w:rFonts w:ascii="Times New Roman" w:cs="Times New Roman" w:eastAsia="Times New Roman" w:hAnsi="Times New Roman"/>
                <w:sz w:val="20"/>
                <w:szCs w:val="20"/>
                <w:color w:val="auto"/>
              </w:rPr>
              <w:t>457,152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45"/>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186,325</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66,046</w:t>
            </w:r>
          </w:p>
        </w:tc>
        <w:tc>
          <w:tcPr>
            <w:tcW w:w="100" w:type="dxa"/>
            <w:vAlign w:val="bottom"/>
            <w:tcBorders>
              <w:bottom w:val="single" w:sz="8" w:color="CFF0FC"/>
            </w:tcBorders>
          </w:tcPr>
          <w:p>
            <w:pPr>
              <w:spacing w:after="0"/>
              <w:rPr>
                <w:sz w:val="21"/>
                <w:szCs w:val="21"/>
                <w:color w:val="auto"/>
              </w:rPr>
            </w:pPr>
          </w:p>
        </w:tc>
      </w:tr>
      <w:tr>
        <w:trPr>
          <w:trHeight w:val="224"/>
        </w:trPr>
        <w:tc>
          <w:tcPr>
            <w:tcW w:w="6260" w:type="dxa"/>
            <w:vAlign w:val="bottom"/>
            <w:shd w:val="clear" w:color="auto" w:fill="CFF0FC"/>
          </w:tcPr>
          <w:p>
            <w:pPr>
              <w:spacing w:after="0" w:line="224" w:lineRule="exact"/>
              <w:rPr>
                <w:sz w:val="20"/>
                <w:szCs w:val="20"/>
                <w:color w:val="auto"/>
              </w:rPr>
            </w:pPr>
            <w:r>
              <w:rPr>
                <w:rFonts w:ascii="Times New Roman" w:cs="Times New Roman" w:eastAsia="Times New Roman" w:hAnsi="Times New Roman"/>
                <w:sz w:val="20"/>
                <w:szCs w:val="20"/>
                <w:color w:val="auto"/>
              </w:rPr>
              <w:t>Warrants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49,412,312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line="224" w:lineRule="exact"/>
              <w:rPr>
                <w:sz w:val="20"/>
                <w:szCs w:val="20"/>
                <w:color w:val="auto"/>
              </w:rPr>
            </w:pPr>
            <w:r>
              <w:rPr>
                <w:rFonts w:ascii="Times New Roman" w:cs="Times New Roman" w:eastAsia="Times New Roman" w:hAnsi="Times New Roman"/>
                <w:sz w:val="20"/>
                <w:szCs w:val="20"/>
                <w:color w:val="auto"/>
              </w:rPr>
              <w:t>3,491,953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-476885</wp:posOffset>
            </wp:positionV>
            <wp:extent cx="5943600" cy="490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9">
                      <a:extLst>
                        <a:ext uri="{28A0092B-C50C-407E-A947-70E740481C1C}"/>
                      </a:extLst>
                    </a:blip>
                    <a:srcRect/>
                    <a:stretch>
                      <a:fillRect/>
                    </a:stretch>
                  </pic:blipFill>
                  <pic:spPr bwMode="auto">
                    <a:xfrm>
                      <a:off x="0" y="0"/>
                      <a:ext cx="5943600" cy="4902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Segments</w:t>
      </w:r>
    </w:p>
    <w:p>
      <w:pPr>
        <w:spacing w:after="0" w:line="235"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and operating segment, centered around the commercial development of its product candidates. The Company’s chief operating decision maker (“CODM”) is the Chief Executive Officer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9360"/>
          </w:cols>
          <w:pgMar w:left="1440" w:top="1420" w:right="1440" w:bottom="175" w:gutter="0" w:footer="0" w:header="0"/>
        </w:sectPr>
      </w:pPr>
    </w:p>
    <w:bookmarkStart w:id="129" w:name="page130"/>
    <w:bookmarkEnd w:id="129"/>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Company’s CODM reviews consolidated operating results, manages the business on a consolidated basis and utilizes consolidated net loss from the consolidated statements of operations and comprehensive loss to make decisions about allocating resources and assessing performance for the entire Company. Consolidated net loss is also used to monitor budget to actual results. The CODM is additionally regularly provided with more detailed expense information at the program level.</w:t>
      </w:r>
    </w:p>
    <w:p>
      <w:pPr>
        <w:spacing w:after="0" w:line="77"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is a summary of the segment profit or loss, including significant segment expenses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76"/>
        </w:trPr>
        <w:tc>
          <w:tcPr>
            <w:tcW w:w="576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bottom w:val="single" w:sz="8" w:color="CFF0FC"/>
            </w:tcBorders>
          </w:tcPr>
          <w:p>
            <w:pPr>
              <w:spacing w:after="0"/>
              <w:rPr>
                <w:sz w:val="23"/>
                <w:szCs w:val="23"/>
                <w:color w:val="auto"/>
              </w:rPr>
            </w:pPr>
          </w:p>
        </w:tc>
        <w:tc>
          <w:tcPr>
            <w:tcW w:w="110" w:type="dxa"/>
            <w:vAlign w:val="bottom"/>
            <w:tcBorders>
              <w:top w:val="single" w:sz="8" w:color="auto"/>
              <w:bottom w:val="single" w:sz="8" w:color="auto"/>
            </w:tcBorders>
          </w:tcPr>
          <w:p>
            <w:pPr>
              <w:spacing w:after="0"/>
              <w:rPr>
                <w:sz w:val="23"/>
                <w:szCs w:val="23"/>
                <w:color w:val="auto"/>
              </w:rPr>
            </w:pPr>
          </w:p>
        </w:tc>
        <w:tc>
          <w:tcPr>
            <w:tcW w:w="139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23"/>
                <w:szCs w:val="23"/>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Segment expenses:</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139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4"/>
        </w:trPr>
        <w:tc>
          <w:tcPr>
            <w:tcW w:w="5760" w:type="dxa"/>
            <w:vAlign w:val="bottom"/>
          </w:tcPr>
          <w:p>
            <w:pPr>
              <w:ind w:left="100"/>
              <w:spacing w:after="0" w:line="244" w:lineRule="exact"/>
              <w:rPr>
                <w:sz w:val="20"/>
                <w:szCs w:val="20"/>
                <w:color w:val="auto"/>
              </w:rPr>
            </w:pPr>
            <w:r>
              <w:rPr>
                <w:rFonts w:ascii="Times New Roman" w:cs="Times New Roman" w:eastAsia="Times New Roman" w:hAnsi="Times New Roman"/>
                <w:sz w:val="20"/>
                <w:szCs w:val="20"/>
                <w:color w:val="auto"/>
              </w:rPr>
              <w:t>Telitacicept - gMG</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24,959</w:t>
            </w:r>
          </w:p>
        </w:tc>
        <w:tc>
          <w:tcPr>
            <w:tcW w:w="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3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4"/>
        </w:trPr>
        <w:tc>
          <w:tcPr>
            <w:tcW w:w="5760" w:type="dxa"/>
            <w:vAlign w:val="bottom"/>
            <w:shd w:val="clear" w:color="auto" w:fill="CFF0FC"/>
          </w:tcPr>
          <w:p>
            <w:pPr>
              <w:ind w:left="100"/>
              <w:spacing w:after="0" w:line="244" w:lineRule="exact"/>
              <w:rPr>
                <w:sz w:val="20"/>
                <w:szCs w:val="20"/>
                <w:color w:val="auto"/>
              </w:rPr>
            </w:pPr>
            <w:r>
              <w:rPr>
                <w:rFonts w:ascii="Times New Roman" w:cs="Times New Roman" w:eastAsia="Times New Roman" w:hAnsi="Times New Roman"/>
                <w:sz w:val="20"/>
                <w:szCs w:val="20"/>
                <w:color w:val="auto"/>
              </w:rPr>
              <w:t>Telitacicept - SjD</w:t>
            </w:r>
            <w:r>
              <w:rPr>
                <w:rFonts w:ascii="Times New Roman" w:cs="Times New Roman" w:eastAsia="Times New Roman" w:hAnsi="Times New Roman"/>
                <w:sz w:val="25"/>
                <w:szCs w:val="25"/>
                <w:color w:val="auto"/>
                <w:vertAlign w:val="superscript"/>
              </w:rPr>
              <w:t>(a)</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3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39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r>
      <w:tr>
        <w:trPr>
          <w:trHeight w:val="245"/>
        </w:trPr>
        <w:tc>
          <w:tcPr>
            <w:tcW w:w="5760" w:type="dxa"/>
            <w:vAlign w:val="bottom"/>
          </w:tcPr>
          <w:p>
            <w:pPr>
              <w:ind w:left="100"/>
              <w:spacing w:after="0" w:line="245" w:lineRule="exact"/>
              <w:rPr>
                <w:sz w:val="20"/>
                <w:szCs w:val="20"/>
                <w:color w:val="auto"/>
              </w:rPr>
            </w:pPr>
            <w:r>
              <w:rPr>
                <w:rFonts w:ascii="Times New Roman" w:cs="Times New Roman" w:eastAsia="Times New Roman" w:hAnsi="Times New Roman"/>
                <w:sz w:val="20"/>
                <w:szCs w:val="20"/>
                <w:color w:val="auto"/>
              </w:rPr>
              <w:t>Trem-cel</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9,437</w:t>
            </w:r>
          </w:p>
        </w:tc>
        <w:tc>
          <w:tcPr>
            <w:tcW w:w="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3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18,905</w:t>
            </w:r>
          </w:p>
        </w:tc>
        <w:tc>
          <w:tcPr>
            <w:tcW w:w="80" w:type="dxa"/>
            <w:vAlign w:val="bottom"/>
          </w:tcPr>
          <w:p>
            <w:pPr>
              <w:spacing w:after="0"/>
              <w:rPr>
                <w:sz w:val="21"/>
                <w:szCs w:val="21"/>
                <w:color w:val="auto"/>
              </w:rPr>
            </w:pPr>
          </w:p>
        </w:tc>
      </w:tr>
      <w:tr>
        <w:trPr>
          <w:trHeight w:val="244"/>
        </w:trPr>
        <w:tc>
          <w:tcPr>
            <w:tcW w:w="5760" w:type="dxa"/>
            <w:vAlign w:val="bottom"/>
            <w:shd w:val="clear" w:color="auto" w:fill="CFF0FC"/>
          </w:tcPr>
          <w:p>
            <w:pPr>
              <w:ind w:left="100"/>
              <w:spacing w:after="0" w:line="244" w:lineRule="exact"/>
              <w:rPr>
                <w:sz w:val="20"/>
                <w:szCs w:val="20"/>
                <w:color w:val="auto"/>
              </w:rPr>
            </w:pPr>
            <w:r>
              <w:rPr>
                <w:rFonts w:ascii="Times New Roman" w:cs="Times New Roman" w:eastAsia="Times New Roman" w:hAnsi="Times New Roman"/>
                <w:sz w:val="20"/>
                <w:szCs w:val="20"/>
                <w:color w:val="auto"/>
              </w:rPr>
              <w:t>VCAR33</w:t>
            </w:r>
            <w:r>
              <w:rPr>
                <w:rFonts w:ascii="Times New Roman" w:cs="Times New Roman" w:eastAsia="Times New Roman" w:hAnsi="Times New Roman"/>
                <w:sz w:val="25"/>
                <w:szCs w:val="25"/>
                <w:color w:val="auto"/>
                <w:vertAlign w:val="superscript"/>
              </w:rPr>
              <w:t>(a)</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3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39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8,930</w:t>
            </w:r>
          </w:p>
        </w:tc>
        <w:tc>
          <w:tcPr>
            <w:tcW w:w="80" w:type="dxa"/>
            <w:vAlign w:val="bottom"/>
            <w:shd w:val="clear" w:color="auto" w:fill="CFF0FC"/>
          </w:tcPr>
          <w:p>
            <w:pPr>
              <w:spacing w:after="0"/>
              <w:rPr>
                <w:sz w:val="21"/>
                <w:szCs w:val="21"/>
                <w:color w:val="auto"/>
              </w:rPr>
            </w:pPr>
          </w:p>
        </w:tc>
      </w:tr>
      <w:tr>
        <w:trPr>
          <w:trHeight w:val="244"/>
        </w:trPr>
        <w:tc>
          <w:tcPr>
            <w:tcW w:w="6000" w:type="dxa"/>
            <w:vAlign w:val="bottom"/>
            <w:gridSpan w:val="2"/>
          </w:tcPr>
          <w:p>
            <w:pPr>
              <w:ind w:left="100"/>
              <w:spacing w:after="0" w:line="244" w:lineRule="exact"/>
              <w:rPr>
                <w:sz w:val="20"/>
                <w:szCs w:val="20"/>
                <w:color w:val="auto"/>
              </w:rPr>
            </w:pPr>
            <w:r>
              <w:rPr>
                <w:rFonts w:ascii="Times New Roman" w:cs="Times New Roman" w:eastAsia="Times New Roman" w:hAnsi="Times New Roman"/>
                <w:sz w:val="20"/>
                <w:szCs w:val="20"/>
                <w:color w:val="auto"/>
              </w:rPr>
              <w:t>Other research and development</w:t>
            </w:r>
            <w:r>
              <w:rPr>
                <w:rFonts w:ascii="Times New Roman" w:cs="Times New Roman" w:eastAsia="Times New Roman" w:hAnsi="Times New Roman"/>
                <w:sz w:val="25"/>
                <w:szCs w:val="25"/>
                <w:color w:val="auto"/>
                <w:vertAlign w:val="superscript"/>
              </w:rPr>
              <w:t>(a)</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229,092</w:t>
            </w:r>
          </w:p>
        </w:tc>
        <w:tc>
          <w:tcPr>
            <w:tcW w:w="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3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12,608</w:t>
            </w:r>
          </w:p>
        </w:tc>
        <w:tc>
          <w:tcPr>
            <w:tcW w:w="80" w:type="dxa"/>
            <w:vAlign w:val="bottom"/>
          </w:tcPr>
          <w:p>
            <w:pPr>
              <w:spacing w:after="0"/>
              <w:rPr>
                <w:sz w:val="21"/>
                <w:szCs w:val="21"/>
                <w:color w:val="auto"/>
              </w:rPr>
            </w:pPr>
          </w:p>
        </w:tc>
      </w:tr>
      <w:tr>
        <w:trPr>
          <w:trHeight w:val="245"/>
        </w:trPr>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Salaries and benefits</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39,238</w:t>
            </w:r>
          </w:p>
        </w:tc>
        <w:tc>
          <w:tcPr>
            <w:tcW w:w="30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39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44,165</w:t>
            </w:r>
          </w:p>
        </w:tc>
        <w:tc>
          <w:tcPr>
            <w:tcW w:w="80" w:type="dxa"/>
            <w:vAlign w:val="bottom"/>
            <w:shd w:val="clear" w:color="auto" w:fill="CFF0FC"/>
          </w:tcPr>
          <w:p>
            <w:pPr>
              <w:spacing w:after="0"/>
              <w:rPr>
                <w:sz w:val="21"/>
                <w:szCs w:val="21"/>
                <w:color w:val="auto"/>
              </w:rPr>
            </w:pPr>
          </w:p>
        </w:tc>
      </w:tr>
      <w:tr>
        <w:trPr>
          <w:trHeight w:val="2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General corporate activities</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31,540</w:t>
            </w:r>
          </w:p>
        </w:tc>
        <w:tc>
          <w:tcPr>
            <w:tcW w:w="3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3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19,856</w:t>
            </w:r>
          </w:p>
        </w:tc>
        <w:tc>
          <w:tcPr>
            <w:tcW w:w="80" w:type="dxa"/>
            <w:vAlign w:val="bottom"/>
          </w:tcPr>
          <w:p>
            <w:pPr>
              <w:spacing w:after="0"/>
              <w:rPr>
                <w:sz w:val="21"/>
                <w:szCs w:val="21"/>
                <w:color w:val="auto"/>
              </w:rPr>
            </w:pPr>
          </w:p>
        </w:tc>
      </w:tr>
      <w:tr>
        <w:trPr>
          <w:trHeight w:val="245"/>
        </w:trPr>
        <w:tc>
          <w:tcPr>
            <w:tcW w:w="5760" w:type="dxa"/>
            <w:vAlign w:val="bottom"/>
            <w:shd w:val="clear" w:color="auto" w:fill="CFF0FC"/>
          </w:tcPr>
          <w:p>
            <w:pPr>
              <w:ind w:left="100"/>
              <w:spacing w:after="0" w:line="245" w:lineRule="exact"/>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5"/>
                <w:szCs w:val="25"/>
                <w:color w:val="auto"/>
                <w:vertAlign w:val="superscript"/>
              </w:rPr>
              <w:t>(b)</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352,415</w:t>
            </w:r>
          </w:p>
        </w:tc>
        <w:tc>
          <w:tcPr>
            <w:tcW w:w="30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139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12,450</w:t>
            </w:r>
          </w:p>
        </w:tc>
        <w:tc>
          <w:tcPr>
            <w:tcW w:w="80" w:type="dxa"/>
            <w:vAlign w:val="bottom"/>
            <w:shd w:val="clear" w:color="auto" w:fill="CFF0FC"/>
          </w:tcPr>
          <w:p>
            <w:pPr>
              <w:spacing w:after="0"/>
              <w:rPr>
                <w:sz w:val="21"/>
                <w:szCs w:val="21"/>
                <w:color w:val="auto"/>
              </w:rPr>
            </w:pPr>
          </w:p>
        </w:tc>
      </w:tr>
      <w:tr>
        <w:trPr>
          <w:trHeight w:val="233"/>
        </w:trPr>
        <w:tc>
          <w:tcPr>
            <w:tcW w:w="6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Segment expenses: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695,981</w:t>
            </w:r>
          </w:p>
        </w:tc>
        <w:tc>
          <w:tcPr>
            <w:tcW w:w="300" w:type="dxa"/>
            <w:vAlign w:val="bottom"/>
            <w:tcBorders>
              <w:bottom w:val="single" w:sz="8" w:color="CFF0FC"/>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3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116,914</w:t>
            </w:r>
          </w:p>
        </w:tc>
        <w:tc>
          <w:tcPr>
            <w:tcW w:w="80" w:type="dxa"/>
            <w:vAlign w:val="bottom"/>
            <w:tcBorders>
              <w:bottom w:val="single" w:sz="8" w:color="CFF0FC"/>
            </w:tcBorders>
          </w:tcPr>
          <w:p>
            <w:pPr>
              <w:spacing w:after="0"/>
              <w:rPr>
                <w:sz w:val="20"/>
                <w:szCs w:val="20"/>
                <w:color w:val="auto"/>
              </w:rPr>
            </w:pPr>
          </w:p>
        </w:tc>
      </w:tr>
      <w:tr>
        <w:trPr>
          <w:trHeight w:val="235"/>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Segment net loss</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(695,981</w:t>
            </w:r>
          </w:p>
        </w:tc>
        <w:tc>
          <w:tcPr>
            <w:tcW w:w="3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39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(116,914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r>
      <w:tr>
        <w:trPr>
          <w:trHeight w:val="20"/>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39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3804285</wp:posOffset>
                </wp:positionH>
                <wp:positionV relativeFrom="paragraph">
                  <wp:posOffset>-1925955</wp:posOffset>
                </wp:positionV>
                <wp:extent cx="208343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343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55pt,-151.6499pt" to="463.6pt,-151.6499pt" o:allowincell="f" strokecolor="#FFFFFF" strokeweight="0.7199pt"/>
            </w:pict>
          </mc:Fallback>
        </mc:AlternateContent>
        <w:drawing>
          <wp:anchor simplePos="0" relativeHeight="251657728" behindDoc="1" locked="0" layoutInCell="0" allowOverlap="1">
            <wp:simplePos x="0" y="0"/>
            <wp:positionH relativeFrom="column">
              <wp:posOffset>3792220</wp:posOffset>
            </wp:positionH>
            <wp:positionV relativeFrom="paragraph">
              <wp:posOffset>-1757680</wp:posOffset>
            </wp:positionV>
            <wp:extent cx="967105" cy="180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0">
                      <a:extLst>
                        <a:ext uri="{28A0092B-C50C-407E-A947-70E740481C1C}"/>
                      </a:extLst>
                    </a:blip>
                    <a:srcRect/>
                    <a:stretch>
                      <a:fillRect/>
                    </a:stretch>
                  </pic:blipFill>
                  <pic:spPr bwMode="auto">
                    <a:xfrm>
                      <a:off x="0" y="0"/>
                      <a:ext cx="967105" cy="1809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-1275080</wp:posOffset>
                </wp:positionV>
                <wp:extent cx="59436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3999pt" to="468pt,-100.3999pt" o:allowincell="f" strokecolor="#FFFFFF" strokeweight="0.7199pt"/>
            </w:pict>
          </mc:Fallback>
        </mc:AlternateContent>
      </w:r>
    </w:p>
    <w:p>
      <w:pPr>
        <w:spacing w:after="0" w:line="175" w:lineRule="exact"/>
        <w:rPr>
          <w:sz w:val="20"/>
          <w:szCs w:val="20"/>
          <w:color w:val="auto"/>
        </w:rPr>
      </w:pPr>
    </w:p>
    <w:p>
      <w:pPr>
        <w:ind w:left="200" w:hanging="200"/>
        <w:spacing w:after="0"/>
        <w:tabs>
          <w:tab w:leader="none" w:pos="20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only external research and development expenditures.</w:t>
      </w:r>
    </w:p>
    <w:p>
      <w:pPr>
        <w:spacing w:after="0" w:line="7" w:lineRule="exact"/>
        <w:rPr>
          <w:rFonts w:ascii="Times New Roman" w:cs="Times New Roman" w:eastAsia="Times New Roman" w:hAnsi="Times New Roman"/>
          <w:sz w:val="26"/>
          <w:szCs w:val="26"/>
          <w:color w:val="auto"/>
          <w:vertAlign w:val="superscript"/>
        </w:rPr>
      </w:pPr>
    </w:p>
    <w:p>
      <w:pPr>
        <w:jc w:val="both"/>
        <w:spacing w:after="0" w:line="231" w:lineRule="auto"/>
        <w:tabs>
          <w:tab w:leader="none" w:pos="224"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Other segment items are primarily comprised of interest income on marketable securities and certain non-cash expenses such as changes in warrant liability, stock-based compensation, depreciation expense, and non-cash lease expense.</w:t>
      </w:r>
    </w:p>
    <w:p>
      <w:pPr>
        <w:spacing w:after="0" w:line="227" w:lineRule="exact"/>
        <w:rPr>
          <w:sz w:val="20"/>
          <w:szCs w:val="20"/>
          <w:color w:val="auto"/>
        </w:rPr>
      </w:pPr>
    </w:p>
    <w:p>
      <w:pPr>
        <w:ind w:right="260" w:firstLine="720"/>
        <w:spacing w:after="0" w:line="266" w:lineRule="auto"/>
        <w:rPr>
          <w:sz w:val="20"/>
          <w:szCs w:val="20"/>
          <w:color w:val="auto"/>
        </w:rPr>
      </w:pPr>
      <w:r>
        <w:rPr>
          <w:rFonts w:ascii="Times New Roman" w:cs="Times New Roman" w:eastAsia="Times New Roman" w:hAnsi="Times New Roman"/>
          <w:sz w:val="20"/>
          <w:szCs w:val="20"/>
          <w:color w:val="auto"/>
        </w:rPr>
        <w:t>The measure of segment assets is reported on the consolidated balance sheet as total assets. The CODM additionally reviews cash, cash equivalents and marketable securities when reviewing segment assets. As of December 31, 2025, the Company’s cash, cash equivalents and marketable securities were $455.2 million. The Company does not provide its CODM with any more detailed segment asset information than what is included on the Company’s consolidated balance sheets. The Company's assets are located entirely in the United States.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Restructuring Plan</w:t>
      </w:r>
    </w:p>
    <w:p>
      <w:pPr>
        <w:spacing w:after="0" w:line="12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On May 5, 2025, the Company’s board of directors approved the wind down of the Company’s then clinical and manufacturing operations and the initiation of a process to explore strategic alternatives to maximize shareholder value (the “Restructuring Plan”). The Company publicly announced this plan on May 8, 2025.</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conjunction with the Restructuring Plan, the Company announced a reduction of its workforce by</w:t>
      </w:r>
    </w:p>
    <w:p>
      <w:pPr>
        <w:spacing w:after="0" w:line="2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154 full-time employees, or approximately 99% of the Company’s then-current employee base. Total severance and benefit costs incurred as of December 31, 2025 were $13.1 million.</w:t>
      </w:r>
    </w:p>
    <w:p>
      <w:pPr>
        <w:spacing w:after="0" w:line="76"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As discussed in Notes 5 and 9, in connection with the Restructuring Plan, the Company sold certain long-lived assets as well as abandoned a right-of-use asset and other property and equipment. The disposals and abandonments resulted in a loss on disposal of $3.3 million, accelerated depreciation of $1.5 million, and accelerated amortization of right-of-use assets of $11.2 million, all of which were incurred during the three months ended June 30, 2025. Management concluded that the disposals do not meet the criteria for discontinued operations as they do not represent a strategic shift that will have a major effect on the Company’s operations and financial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Restructuring Costs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incurred a total of $29.7 million of restructuring costs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2240" w:h="15840" w:orient="portrait"/>
          <w:cols w:equalWidth="0" w:num="1">
            <w:col w:w="9360"/>
          </w:cols>
          <w:pgMar w:left="1440" w:top="1420" w:right="1440" w:bottom="175" w:gutter="0" w:footer="0" w:header="0"/>
        </w:sectPr>
      </w:pPr>
    </w:p>
    <w:bookmarkStart w:id="130" w:name="page131"/>
    <w:bookmarkEnd w:id="130"/>
    <w:p>
      <w:pPr>
        <w:ind w:right="1020" w:firstLine="720"/>
        <w:spacing w:after="0" w:line="277" w:lineRule="auto"/>
        <w:rPr>
          <w:sz w:val="20"/>
          <w:szCs w:val="20"/>
          <w:color w:val="auto"/>
        </w:rPr>
      </w:pPr>
      <w:r>
        <w:rPr>
          <w:rFonts w:ascii="Times New Roman" w:cs="Times New Roman" w:eastAsia="Times New Roman" w:hAnsi="Times New Roman"/>
          <w:sz w:val="20"/>
          <w:szCs w:val="20"/>
          <w:color w:val="auto"/>
        </w:rPr>
        <w:t>A summary of the restructuring costs recorded in the consolidated statements of operations and comprehensive loss for the year ended December 31, 2025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3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1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89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10" w:type="dxa"/>
            <w:vAlign w:val="bottom"/>
            <w:tcBorders>
              <w:bottom w:val="single" w:sz="8" w:color="auto"/>
            </w:tcBorders>
          </w:tcPr>
          <w:p>
            <w:pPr>
              <w:spacing w:after="0"/>
              <w:rPr>
                <w:sz w:val="17"/>
                <w:szCs w:val="17"/>
                <w:color w:val="auto"/>
              </w:rPr>
            </w:pPr>
          </w:p>
        </w:tc>
        <w:tc>
          <w:tcPr>
            <w:tcW w:w="71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87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8"/>
        </w:trPr>
        <w:tc>
          <w:tcPr>
            <w:tcW w:w="273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Severance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Accelerated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w w:val="98"/>
              </w:rPr>
              <w:t>Accelerated</w:t>
            </w:r>
          </w:p>
        </w:tc>
        <w:tc>
          <w:tcPr>
            <w:tcW w:w="110" w:type="dxa"/>
            <w:vAlign w:val="bottom"/>
          </w:tcPr>
          <w:p>
            <w:pPr>
              <w:spacing w:after="0"/>
              <w:rPr>
                <w:sz w:val="14"/>
                <w:szCs w:val="14"/>
                <w:color w:val="auto"/>
              </w:rPr>
            </w:pPr>
          </w:p>
        </w:tc>
        <w:tc>
          <w:tcPr>
            <w:tcW w:w="710" w:type="dxa"/>
            <w:vAlign w:val="bottom"/>
          </w:tcPr>
          <w:p>
            <w:pPr>
              <w:jc w:val="center"/>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Loss 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70" w:type="dxa"/>
            <w:vAlign w:val="bottom"/>
          </w:tcPr>
          <w:p>
            <w:pPr>
              <w:jc w:val="center"/>
              <w:ind w:right="40"/>
              <w:spacing w:after="0" w:line="16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Pr>
          <w:p>
            <w:pPr>
              <w:spacing w:after="0"/>
              <w:rPr>
                <w:sz w:val="14"/>
                <w:szCs w:val="14"/>
                <w:color w:val="auto"/>
              </w:rPr>
            </w:pPr>
          </w:p>
        </w:tc>
      </w:tr>
      <w:tr>
        <w:trPr>
          <w:trHeight w:val="185"/>
        </w:trPr>
        <w:tc>
          <w:tcPr>
            <w:tcW w:w="27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1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Stock-based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Disposal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Restructuring</w:t>
            </w:r>
          </w:p>
        </w:tc>
        <w:tc>
          <w:tcPr>
            <w:tcW w:w="60" w:type="dxa"/>
            <w:vAlign w:val="bottom"/>
          </w:tcPr>
          <w:p>
            <w:pPr>
              <w:spacing w:after="0"/>
              <w:rPr>
                <w:sz w:val="16"/>
                <w:szCs w:val="16"/>
                <w:color w:val="auto"/>
              </w:rPr>
            </w:pPr>
          </w:p>
        </w:tc>
      </w:tr>
      <w:tr>
        <w:trPr>
          <w:trHeight w:val="184"/>
        </w:trPr>
        <w:tc>
          <w:tcPr>
            <w:tcW w:w="273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Benefits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on Long-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on Right-of-</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Long-lived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5"/>
                <w:szCs w:val="15"/>
                <w:color w:val="auto"/>
              </w:rPr>
            </w:pPr>
          </w:p>
        </w:tc>
      </w:tr>
      <w:tr>
        <w:trPr>
          <w:trHeight w:val="203"/>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 w:type="dxa"/>
            <w:vAlign w:val="bottom"/>
          </w:tcPr>
          <w:p>
            <w:pPr>
              <w:spacing w:after="0"/>
              <w:rPr>
                <w:sz w:val="17"/>
                <w:szCs w:val="17"/>
                <w:color w:val="auto"/>
              </w:rPr>
            </w:pPr>
          </w:p>
        </w:tc>
        <w:tc>
          <w:tcPr>
            <w:tcW w:w="71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lived Assets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use Assets</w:t>
            </w:r>
          </w:p>
        </w:tc>
        <w:tc>
          <w:tcPr>
            <w:tcW w:w="110" w:type="dxa"/>
            <w:vAlign w:val="bottom"/>
          </w:tcPr>
          <w:p>
            <w:pPr>
              <w:spacing w:after="0"/>
              <w:rPr>
                <w:sz w:val="17"/>
                <w:szCs w:val="17"/>
                <w:color w:val="auto"/>
              </w:rPr>
            </w:pPr>
          </w:p>
        </w:tc>
        <w:tc>
          <w:tcPr>
            <w:tcW w:w="71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7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60" w:type="dxa"/>
            <w:vAlign w:val="bottom"/>
          </w:tcPr>
          <w:p>
            <w:pPr>
              <w:spacing w:after="0"/>
              <w:rPr>
                <w:sz w:val="17"/>
                <w:szCs w:val="17"/>
                <w:color w:val="auto"/>
              </w:rPr>
            </w:pPr>
          </w:p>
        </w:tc>
      </w:tr>
      <w:tr>
        <w:trPr>
          <w:trHeight w:val="234"/>
        </w:trPr>
        <w:tc>
          <w:tcPr>
            <w:tcW w:w="2730" w:type="dxa"/>
            <w:vAlign w:val="bottom"/>
            <w:tcBorders>
              <w:top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1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71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89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71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87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r>
      <w:tr>
        <w:trPr>
          <w:trHeight w:val="229"/>
        </w:trPr>
        <w:tc>
          <w:tcPr>
            <w:tcW w:w="273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expense</w:t>
            </w:r>
          </w:p>
        </w:tc>
        <w:tc>
          <w:tcPr>
            <w:tcW w:w="11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7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89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10,159</w:t>
            </w:r>
          </w:p>
        </w:tc>
        <w:tc>
          <w:tcPr>
            <w:tcW w:w="18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7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87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23,071</w:t>
            </w:r>
          </w:p>
        </w:tc>
        <w:tc>
          <w:tcPr>
            <w:tcW w:w="60" w:type="dxa"/>
            <w:vAlign w:val="bottom"/>
            <w:shd w:val="clear" w:color="auto" w:fill="CFF0FC"/>
          </w:tcPr>
          <w:p>
            <w:pPr>
              <w:spacing w:after="0"/>
              <w:rPr>
                <w:sz w:val="19"/>
                <w:szCs w:val="19"/>
                <w:color w:val="auto"/>
              </w:rPr>
            </w:pPr>
          </w:p>
        </w:tc>
      </w:tr>
      <w:tr>
        <w:trPr>
          <w:trHeight w:val="245"/>
        </w:trPr>
        <w:tc>
          <w:tcPr>
            <w:tcW w:w="273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30" w:type="dxa"/>
            <w:vAlign w:val="bottom"/>
            <w:gridSpan w:val="2"/>
          </w:tcPr>
          <w:p>
            <w:pPr>
              <w:spacing w:after="0"/>
              <w:rPr>
                <w:sz w:val="21"/>
                <w:szCs w:val="21"/>
                <w:color w:val="auto"/>
              </w:rPr>
            </w:pPr>
          </w:p>
        </w:tc>
        <w:tc>
          <w:tcPr>
            <w:tcW w:w="11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9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71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7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273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20"/>
                <w:szCs w:val="20"/>
                <w:color w:val="auto"/>
              </w:rPr>
              <w:t>expense</w:t>
            </w:r>
          </w:p>
        </w:tc>
        <w:tc>
          <w:tcPr>
            <w:tcW w:w="11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7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4,738</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8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1,064</w:t>
            </w:r>
          </w:p>
        </w:tc>
        <w:tc>
          <w:tcPr>
            <w:tcW w:w="180" w:type="dxa"/>
            <w:vAlign w:val="bottom"/>
            <w:tcBorders>
              <w:bottom w:val="single" w:sz="8" w:color="CFF0FC"/>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7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8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6,635</w:t>
            </w:r>
          </w:p>
        </w:tc>
        <w:tc>
          <w:tcPr>
            <w:tcW w:w="60" w:type="dxa"/>
            <w:vAlign w:val="bottom"/>
            <w:tcBorders>
              <w:bottom w:val="single" w:sz="8" w:color="CFF0FC"/>
            </w:tcBorders>
          </w:tcPr>
          <w:p>
            <w:pPr>
              <w:spacing w:after="0"/>
              <w:rPr>
                <w:sz w:val="19"/>
                <w:szCs w:val="19"/>
                <w:color w:val="auto"/>
              </w:rPr>
            </w:pPr>
          </w:p>
        </w:tc>
      </w:tr>
      <w:tr>
        <w:trPr>
          <w:trHeight w:val="236"/>
        </w:trPr>
        <w:tc>
          <w:tcPr>
            <w:tcW w:w="273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Total</w:t>
            </w:r>
          </w:p>
        </w:tc>
        <w:tc>
          <w:tcPr>
            <w:tcW w:w="11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7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13,117</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89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1,514</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11,223</w:t>
            </w:r>
          </w:p>
        </w:tc>
        <w:tc>
          <w:tcPr>
            <w:tcW w:w="180" w:type="dxa"/>
            <w:vAlign w:val="bottom"/>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7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3,303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7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29,706</w:t>
            </w:r>
          </w:p>
        </w:tc>
        <w:tc>
          <w:tcPr>
            <w:tcW w:w="60" w:type="dxa"/>
            <w:vAlign w:val="bottom"/>
            <w:shd w:val="clear" w:color="auto" w:fill="CFF0FC"/>
          </w:tcPr>
          <w:p>
            <w:pPr>
              <w:spacing w:after="0"/>
              <w:rPr>
                <w:sz w:val="20"/>
                <w:szCs w:val="20"/>
                <w:color w:val="auto"/>
              </w:rPr>
            </w:pPr>
          </w:p>
        </w:tc>
      </w:tr>
      <w:tr>
        <w:trPr>
          <w:trHeight w:val="20"/>
        </w:trPr>
        <w:tc>
          <w:tcPr>
            <w:tcW w:w="273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9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7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-485775</wp:posOffset>
                </wp:positionV>
                <wp:extent cx="59436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2499pt" to="468pt,-38.2499pt" o:allowincell="f" strokecolor="#FFFFFF" strokeweight="0.72pt"/>
            </w:pict>
          </mc:Fallback>
        </mc:AlternateConten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Liability</w:t>
      </w:r>
    </w:p>
    <w:p>
      <w:pPr>
        <w:spacing w:after="0" w:line="120" w:lineRule="exact"/>
        <w:rPr>
          <w:sz w:val="20"/>
          <w:szCs w:val="20"/>
          <w:color w:val="auto"/>
        </w:rPr>
      </w:pPr>
    </w:p>
    <w:p>
      <w:pPr>
        <w:ind w:right="28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provides details of the severance and benefit costs with the remaining balance of the liability recorded in accrued liabilities on the consolidated balance sheets as of December 31,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Restructuring Liability</w:t>
            </w:r>
          </w:p>
        </w:tc>
      </w:tr>
      <w:tr>
        <w:trPr>
          <w:trHeight w:val="233"/>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Restructuring liability as of January 1, 2025</w:t>
            </w: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FF0FC"/>
            </w:tcBorders>
            <w:shd w:val="clear" w:color="auto" w:fill="CFF0FC"/>
          </w:tcPr>
          <w:p>
            <w:pPr>
              <w:spacing w:after="0"/>
              <w:rPr>
                <w:sz w:val="20"/>
                <w:szCs w:val="20"/>
                <w:color w:val="auto"/>
              </w:rPr>
            </w:pPr>
          </w:p>
        </w:tc>
      </w:tr>
      <w:tr>
        <w:trPr>
          <w:trHeight w:val="245"/>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Severance and benefit restructuring costs incurred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13,117</w:t>
            </w:r>
          </w:p>
        </w:tc>
        <w:tc>
          <w:tcPr>
            <w:tcW w:w="80" w:type="dxa"/>
            <w:vAlign w:val="bottom"/>
          </w:tcPr>
          <w:p>
            <w:pPr>
              <w:spacing w:after="0"/>
              <w:rPr>
                <w:sz w:val="21"/>
                <w:szCs w:val="21"/>
                <w:color w:val="auto"/>
              </w:rPr>
            </w:pPr>
          </w:p>
        </w:tc>
      </w:tr>
      <w:tr>
        <w:trPr>
          <w:trHeight w:val="244"/>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Cash Payments</w:t>
            </w: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(13,023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FF0FC"/>
              </w:rPr>
              <w:t>)</w:t>
            </w:r>
          </w:p>
        </w:tc>
      </w:t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Liability included in accrued liabilities at December 31, 2025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-494030</wp:posOffset>
                </wp:positionV>
                <wp:extent cx="59436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8999pt" to="468pt,-38.8999pt" o:allowincell="f" strokecolor="#FFFFFF" strokeweight="0.72pt"/>
            </w:pict>
          </mc:Fallback>
        </mc:AlternateConten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Related Party Transactions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June 2025 Private Placement</w:t>
      </w:r>
    </w:p>
    <w:p>
      <w:pPr>
        <w:spacing w:after="0" w:line="12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As discussed in Note 7, on June 25, 2025, the Company entered into a purchase agreement with certain institutional investors pursuant to which the Company issued and sold warrants to purchase the Company's common stock. R.A. Capital Healthcare Fund, L.P. purchased warrants to purchase up to 10,000,000 shares of the Company's common stock for gross proceeds of $50.0 million. R.A. Capital Healthcare Fund, L.P. and its affiliates beneficially own more than 5% of the Company’s common stock. Joshua Resnick, M.D., a member of the Company’s board of directors at the time of the transaction, is a managing director at RA Capital Management L. P., an affiliate of R.A. Capital Healthcare Fund, L.P. On August 25, 2025, Dr. Resnick resigned as a director, and on August 27, 2025, the Company’s board of directors appointed Sarah Reed to fill the vacancy created by the resignation of Dr. Resnick. Ms. Reed serves as general counsel of R.A. Capital Management, L.P. The terms of the warrants are further described in Note 7 and none of the warrants have been exercised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Intellectual Property</w:t>
      </w:r>
    </w:p>
    <w:p>
      <w:pPr>
        <w:spacing w:after="0" w:line="12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On September 22, 2025, the Company entered into an Asset Purchase Agreement pursuant to which the Company agreed to sell certain intellectual property related to the Company’s previous product candidates trem-cel and VCAR33 to SyzygyMed Inc. (“Syzygy”) for $1.1 million in cash consideration. Syzygy is wholly owned by Reprogrammed Interchange LLC, a beneficial owner of more than 5% of the Company’s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December 2025 Private Placement</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also discussed in Note 7, on December 15, 2025, the Company entered into a purchase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investors pursuant to which the Company issued and sold shares of the Company’s common stock. R.A.</w:t>
      </w:r>
    </w:p>
    <w:p>
      <w:pPr>
        <w:spacing w:after="0"/>
        <w:rPr>
          <w:sz w:val="20"/>
          <w:szCs w:val="20"/>
          <w:color w:val="auto"/>
        </w:rPr>
      </w:pPr>
      <w:r>
        <w:rPr>
          <w:rFonts w:ascii="Times New Roman" w:cs="Times New Roman" w:eastAsia="Times New Roman" w:hAnsi="Times New Roman"/>
          <w:sz w:val="20"/>
          <w:szCs w:val="20"/>
          <w:color w:val="auto"/>
        </w:rPr>
        <w:t>Capital Healthcare Fund, L.P. purchased 4,625,346 shares of the Company's common stock for gross proceeds of</w:t>
      </w:r>
    </w:p>
    <w:p>
      <w:pPr>
        <w:spacing w:after="0"/>
        <w:rPr>
          <w:sz w:val="20"/>
          <w:szCs w:val="20"/>
          <w:color w:val="auto"/>
        </w:rPr>
      </w:pPr>
      <w:r>
        <w:rPr>
          <w:rFonts w:ascii="Times New Roman" w:cs="Times New Roman" w:eastAsia="Times New Roman" w:hAnsi="Times New Roman"/>
          <w:sz w:val="20"/>
          <w:szCs w:val="20"/>
          <w:color w:val="auto"/>
        </w:rPr>
        <w:t>$50.0 million. RA Capital Healthcare Fund, L.P. and its affiliates beneficially own more than 5% of the Company’s</w:t>
      </w:r>
    </w:p>
    <w:p>
      <w:pPr>
        <w:spacing w:after="0"/>
        <w:rPr>
          <w:sz w:val="20"/>
          <w:szCs w:val="20"/>
          <w:color w:val="auto"/>
        </w:rPr>
      </w:pPr>
      <w:r>
        <w:rPr>
          <w:rFonts w:ascii="Times New Roman" w:cs="Times New Roman" w:eastAsia="Times New Roman" w:hAnsi="Times New Roman"/>
          <w:sz w:val="20"/>
          <w:szCs w:val="20"/>
          <w:color w:val="auto"/>
        </w:rPr>
        <w:t>common stock. Sarah Reed, general counsel of R.A. Capital Management, L.P., was a member of the Company's</w:t>
      </w:r>
    </w:p>
    <w:p>
      <w:pPr>
        <w:spacing w:after="0"/>
        <w:rPr>
          <w:sz w:val="20"/>
          <w:szCs w:val="20"/>
          <w:color w:val="auto"/>
        </w:rPr>
      </w:pPr>
      <w:r>
        <w:rPr>
          <w:rFonts w:ascii="Times New Roman" w:cs="Times New Roman" w:eastAsia="Times New Roman" w:hAnsi="Times New Roman"/>
          <w:sz w:val="20"/>
          <w:szCs w:val="20"/>
          <w:color w:val="auto"/>
        </w:rPr>
        <w:t>board of directors on the date of the transaction. On December 17, 2025, Ms. Reed resigned as a director, and the</w:t>
      </w:r>
    </w:p>
    <w:p>
      <w:pPr>
        <w:spacing w:after="0"/>
        <w:rPr>
          <w:sz w:val="20"/>
          <w:szCs w:val="20"/>
          <w:color w:val="auto"/>
        </w:rPr>
      </w:pPr>
      <w:r>
        <w:rPr>
          <w:rFonts w:ascii="Times New Roman" w:cs="Times New Roman" w:eastAsia="Times New Roman" w:hAnsi="Times New Roman"/>
          <w:sz w:val="20"/>
          <w:szCs w:val="20"/>
          <w:color w:val="auto"/>
        </w:rPr>
        <w:t>Company's board of directors appointed Andrew Levin, M.D., Ph.D., to fill the vacancy created by Ms. Reed's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F-26</w:t>
      </w:r>
    </w:p>
    <w:p>
      <w:pPr>
        <w:sectPr>
          <w:pgSz w:w="12240" w:h="15840" w:orient="portrait"/>
          <w:cols w:equalWidth="0" w:num="1">
            <w:col w:w="9360"/>
          </w:cols>
          <w:pgMar w:left="1440" w:top="1420" w:right="1440" w:bottom="175" w:gutter="0" w:footer="0" w:header="0"/>
        </w:sectPr>
      </w:pPr>
    </w:p>
    <w:bookmarkStart w:id="131" w:name="page132"/>
    <w:bookmarkEnd w:id="131"/>
    <w:p>
      <w:pPr>
        <w:ind w:right="280"/>
        <w:spacing w:after="0" w:line="247" w:lineRule="auto"/>
        <w:rPr>
          <w:sz w:val="20"/>
          <w:szCs w:val="20"/>
          <w:color w:val="auto"/>
        </w:rPr>
      </w:pPr>
      <w:r>
        <w:rPr>
          <w:rFonts w:ascii="Times New Roman" w:cs="Times New Roman" w:eastAsia="Times New Roman" w:hAnsi="Times New Roman"/>
          <w:sz w:val="20"/>
          <w:szCs w:val="20"/>
          <w:color w:val="auto"/>
        </w:rPr>
        <w:t>resignation. Mr. Levin serves as a Partner at R.A. Capital Management, L.P. Additionally, as part of the purchase agreement entered into on December 15, 2025, an entity affiliated with Forbion Growth Opportunities Fund ("Forbion") purchased 3,237,742 shares of the Company's common stock for gross proceeds of $35.0 million. Forbion became a greater than 5% stockholder of the Company's outstanding shares in connection with this purchase. In conjunction with Forbion's purchase, the Company's board of directors appointed as a new board member Wouter Joustra, a General Partner of Forbion.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Subsequent Events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March 2026 Private Placement</w:t>
      </w:r>
    </w:p>
    <w:p>
      <w:pPr>
        <w:spacing w:after="0" w:line="239"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On March 26, 2026, the Company entered into a securities purchase agreement with certain institutional investors pursuant to which the Company, in a private placement, agreed to issue and sell an aggregate of 5,338,078 shares of common stock, at a price per share of $14.05, for gross proceeds of $75.0 million before deducting offering expenses. The closing of the private placement is expected to occur on March 30, 2026, subject to satisfaction of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F-27</w:t>
      </w:r>
    </w:p>
    <w:sectPr>
      <w:pgSz w:w="12240" w:h="15840" w:orient="portrait"/>
      <w:cols w:equalWidth="0" w:num="1">
        <w:col w:w="9360"/>
      </w:cols>
      <w:pgMar w:left="1440" w:top="1420" w:right="1440" w:bottom="1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lowerRoman"/>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lowerRoman"/>
      <w:start w:val="4"/>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2"/>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7"/>
    </w:lvl>
  </w:abstractNum>
  <w:abstractNum w:abstractNumId="62">
    <w:nsid w:val="5FF87E05"/>
    <w:multiLevelType w:val="hybridMultilevel"/>
    <w:lvl w:ilvl="0">
      <w:lvlJc w:val="left"/>
      <w:lvlText w:val="%1."/>
      <w:numFmt w:val="decimal"/>
      <w:start w:val="8"/>
    </w:lvl>
  </w:abstractNum>
  <w:abstractNum w:abstractNumId="63">
    <w:nsid w:val="2F305DEF"/>
    <w:multiLevelType w:val="hybridMultilevel"/>
    <w:lvl w:ilvl="0">
      <w:lvlJc w:val="left"/>
      <w:lvlText w:val="%1."/>
      <w:numFmt w:val="decimal"/>
      <w:start w:val="9"/>
    </w:lvl>
  </w:abstractNum>
  <w:abstractNum w:abstractNumId="64">
    <w:nsid w:val="25A70BF7"/>
    <w:multiLevelType w:val="hybridMultilevel"/>
    <w:lvl w:ilvl="0">
      <w:lvlJc w:val="left"/>
      <w:lvlText w:val="%1."/>
      <w:numFmt w:val="decimal"/>
      <w:start w:val="1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2026-04-27T15:15:34Z</dcterms:created>
  <dcterms:modified xsi:type="dcterms:W3CDTF">2026-04-27T15:15:34Z</dcterms:modified>
</cp:coreProperties>
</file>